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22C" w:rsidRPr="005F328E" w:rsidRDefault="0042222C" w:rsidP="0042222C">
      <w:pPr>
        <w:pStyle w:val="Standard"/>
        <w:tabs>
          <w:tab w:val="left" w:pos="355"/>
          <w:tab w:val="center" w:pos="4537"/>
        </w:tabs>
        <w:ind w:left="-142" w:right="-144"/>
        <w:rPr>
          <w:rFonts w:ascii="Arial" w:hAnsi="Arial" w:cs="Arial"/>
          <w:b/>
          <w:bCs/>
          <w:color w:val="FF0000"/>
          <w:sz w:val="32"/>
          <w:szCs w:val="16"/>
        </w:rPr>
      </w:pPr>
      <w:bookmarkStart w:id="0" w:name="247"/>
      <w:bookmarkStart w:id="1" w:name="_Toc57154079"/>
      <w:bookmarkEnd w:id="0"/>
      <w:r>
        <w:rPr>
          <w:rFonts w:ascii="Arial" w:hAnsi="Arial" w:cs="Arial"/>
          <w:b/>
          <w:bCs/>
          <w:color w:val="FF0000"/>
          <w:sz w:val="32"/>
          <w:szCs w:val="16"/>
        </w:rPr>
        <w:tab/>
      </w:r>
      <w:r>
        <w:rPr>
          <w:rFonts w:ascii="Arial" w:hAnsi="Arial" w:cs="Arial"/>
          <w:b/>
          <w:bCs/>
          <w:color w:val="FF0000"/>
          <w:sz w:val="32"/>
          <w:szCs w:val="16"/>
        </w:rPr>
        <w:tab/>
      </w:r>
      <w:r w:rsidR="0079747A">
        <w:rPr>
          <w:rFonts w:ascii="Arial" w:hAnsi="Arial" w:cs="Arial"/>
          <w:b/>
          <w:bCs/>
          <w:noProof/>
          <w:color w:val="FF0000"/>
          <w:sz w:val="32"/>
          <w:szCs w:val="16"/>
          <w:lang w:eastAsia="it-IT" w:bidi="ar-SA"/>
        </w:rPr>
        <w:pict>
          <v:shapetype id="_x0000_t32" coordsize="21600,21600" o:spt="32" o:oned="t" path="m,l21600,21600e" filled="f">
            <v:path arrowok="t" fillok="f" o:connecttype="none"/>
            <o:lock v:ext="edit" shapetype="t"/>
          </v:shapetype>
          <v:shape id="_x0000_s2050" type="#_x0000_t32" style="position:absolute;left:0;text-align:left;margin-left:-1.4pt;margin-top:14.25pt;width:476pt;height:.05pt;z-index:251660288;mso-position-horizontal-relative:text;mso-position-vertical-relative:text" o:connectortype="straight"/>
        </w:pict>
      </w:r>
    </w:p>
    <w:p w:rsidR="0042222C" w:rsidRPr="00F3777B" w:rsidRDefault="0042222C" w:rsidP="0042222C">
      <w:pPr>
        <w:pStyle w:val="Standard"/>
        <w:ind w:left="-142" w:right="-144"/>
        <w:jc w:val="center"/>
        <w:rPr>
          <w:rFonts w:ascii="Arial" w:hAnsi="Arial" w:cs="Arial"/>
          <w:b/>
          <w:sz w:val="32"/>
          <w:szCs w:val="32"/>
        </w:rPr>
      </w:pPr>
      <w:r w:rsidRPr="00F3777B">
        <w:rPr>
          <w:rFonts w:ascii="Arial" w:hAnsi="Arial" w:cs="Arial"/>
          <w:b/>
          <w:bCs/>
          <w:iCs/>
          <w:smallCaps/>
          <w:spacing w:val="-20"/>
          <w:sz w:val="32"/>
          <w:szCs w:val="32"/>
        </w:rPr>
        <w:t>VARIANTE AL LOTTO N. 2 DEL COLLEGAMENTO PEDONALE DAL CENTRO STORICO DEL CAPOLUOGO ALLE AREE DEI SERVIZI PUBBLICI LUNGO VIALE GRAMSCI,</w:t>
      </w:r>
      <w:r w:rsidRPr="00F3777B">
        <w:rPr>
          <w:rFonts w:ascii="Arial" w:hAnsi="Arial" w:cs="Arial"/>
          <w:b/>
          <w:sz w:val="32"/>
          <w:szCs w:val="32"/>
        </w:rPr>
        <w:t xml:space="preserve"> PECCIOLI (PI)</w:t>
      </w:r>
    </w:p>
    <w:p w:rsidR="0042222C" w:rsidRPr="00C51F16" w:rsidRDefault="0042222C" w:rsidP="0042222C">
      <w:pPr>
        <w:pStyle w:val="Standard"/>
        <w:ind w:left="-142" w:right="-144"/>
        <w:jc w:val="center"/>
        <w:rPr>
          <w:rFonts w:ascii="Arial" w:hAnsi="Arial" w:cs="Arial"/>
          <w:b/>
          <w:sz w:val="32"/>
          <w:szCs w:val="32"/>
        </w:rPr>
      </w:pPr>
      <w:r w:rsidRPr="00F3777B">
        <w:rPr>
          <w:rFonts w:ascii="Arial" w:hAnsi="Arial" w:cs="Arial"/>
          <w:b/>
          <w:sz w:val="32"/>
          <w:szCs w:val="32"/>
        </w:rPr>
        <w:t>CUP: D42F20000570004 CIG: BB53B3BFCF</w:t>
      </w:r>
    </w:p>
    <w:p w:rsidR="0042222C" w:rsidRDefault="0042222C" w:rsidP="0042222C">
      <w:pPr>
        <w:pStyle w:val="PreformattatoHTML"/>
        <w:jc w:val="center"/>
        <w:rPr>
          <w:rFonts w:ascii="Arial" w:eastAsia="Arial Unicode MS" w:hAnsi="Arial" w:cs="Arial"/>
          <w:b/>
          <w:bCs/>
          <w:kern w:val="3"/>
          <w:sz w:val="28"/>
          <w:szCs w:val="28"/>
          <w:lang w:eastAsia="zh-CN" w:bidi="hi-IN"/>
        </w:rPr>
      </w:pPr>
    </w:p>
    <w:p w:rsidR="0042222C" w:rsidRPr="00372FB9" w:rsidRDefault="0042222C" w:rsidP="0042222C">
      <w:pPr>
        <w:pStyle w:val="PreformattatoHTML"/>
        <w:jc w:val="center"/>
        <w:rPr>
          <w:rFonts w:ascii="Arial" w:eastAsia="Arial Unicode MS" w:hAnsi="Arial" w:cs="Arial"/>
          <w:b/>
          <w:bCs/>
          <w:kern w:val="3"/>
          <w:sz w:val="28"/>
          <w:szCs w:val="28"/>
          <w:lang w:eastAsia="zh-CN" w:bidi="hi-IN"/>
        </w:rPr>
      </w:pPr>
      <w:r w:rsidRPr="00372FB9">
        <w:rPr>
          <w:rFonts w:ascii="Arial" w:eastAsia="Arial Unicode MS" w:hAnsi="Arial" w:cs="Arial"/>
          <w:b/>
          <w:bCs/>
          <w:kern w:val="3"/>
          <w:sz w:val="28"/>
          <w:szCs w:val="28"/>
          <w:lang w:eastAsia="zh-CN" w:bidi="hi-IN"/>
        </w:rPr>
        <w:t>PROGETTO ESECUTIVO</w:t>
      </w:r>
    </w:p>
    <w:p w:rsidR="0042222C" w:rsidRPr="00372FB9" w:rsidRDefault="0042222C" w:rsidP="0042222C">
      <w:pPr>
        <w:pStyle w:val="Standard"/>
        <w:spacing w:before="170" w:line="360" w:lineRule="auto"/>
        <w:ind w:left="-142" w:right="-144"/>
        <w:jc w:val="center"/>
        <w:rPr>
          <w:color w:val="FF0000"/>
          <w:sz w:val="16"/>
          <w:szCs w:val="16"/>
        </w:rPr>
      </w:pPr>
      <w:r w:rsidRPr="005F328E">
        <w:rPr>
          <w:noProof/>
          <w:color w:val="FF0000"/>
          <w:sz w:val="16"/>
          <w:szCs w:val="16"/>
          <w:lang w:eastAsia="it-IT" w:bidi="ar-SA"/>
        </w:rPr>
        <w:drawing>
          <wp:inline distT="0" distB="0" distL="0" distR="0">
            <wp:extent cx="1482090" cy="1544955"/>
            <wp:effectExtent l="19050" t="0" r="3810" b="0"/>
            <wp:docPr id="6" name="Immagine 1" descr="20141115223055!Pecciol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141115223055!Peccioli-Logo"/>
                    <pic:cNvPicPr>
                      <a:picLocks noChangeAspect="1" noChangeArrowheads="1"/>
                    </pic:cNvPicPr>
                  </pic:nvPicPr>
                  <pic:blipFill>
                    <a:blip r:embed="rId9" cstate="print"/>
                    <a:srcRect/>
                    <a:stretch>
                      <a:fillRect/>
                    </a:stretch>
                  </pic:blipFill>
                  <pic:spPr bwMode="auto">
                    <a:xfrm>
                      <a:off x="0" y="0"/>
                      <a:ext cx="1478394" cy="1542197"/>
                    </a:xfrm>
                    <a:prstGeom prst="rect">
                      <a:avLst/>
                    </a:prstGeom>
                    <a:noFill/>
                    <a:ln w="9525">
                      <a:noFill/>
                      <a:miter lim="800000"/>
                      <a:headEnd/>
                      <a:tailEnd/>
                    </a:ln>
                  </pic:spPr>
                </pic:pic>
              </a:graphicData>
            </a:graphic>
          </wp:inline>
        </w:drawing>
      </w:r>
    </w:p>
    <w:p w:rsidR="0042222C" w:rsidRPr="005F328E" w:rsidRDefault="0042222C" w:rsidP="0042222C">
      <w:pPr>
        <w:pStyle w:val="Sottotitolo"/>
        <w:ind w:left="-142" w:right="-144"/>
        <w:rPr>
          <w:color w:val="FF0000"/>
          <w:sz w:val="16"/>
          <w:szCs w:val="16"/>
        </w:rPr>
      </w:pPr>
    </w:p>
    <w:p w:rsidR="0042222C" w:rsidRPr="00F504B4" w:rsidRDefault="0042222C" w:rsidP="0042222C">
      <w:pPr>
        <w:pStyle w:val="Standard"/>
        <w:ind w:left="-142" w:right="-144"/>
        <w:jc w:val="center"/>
        <w:rPr>
          <w:rFonts w:ascii="Arial" w:hAnsi="Arial" w:cs="Arial"/>
          <w:b/>
          <w:bCs/>
          <w:sz w:val="28"/>
          <w:szCs w:val="14"/>
        </w:rPr>
      </w:pPr>
      <w:r w:rsidRPr="00F504B4">
        <w:rPr>
          <w:rFonts w:ascii="Arial" w:hAnsi="Arial" w:cs="Arial"/>
          <w:b/>
          <w:bCs/>
          <w:sz w:val="28"/>
          <w:szCs w:val="14"/>
        </w:rPr>
        <w:t>CAPITOLATO SPECIALE D'APPALTO</w:t>
      </w:r>
    </w:p>
    <w:p w:rsidR="0042222C" w:rsidRPr="00F504B4" w:rsidRDefault="0042222C" w:rsidP="0042222C">
      <w:pPr>
        <w:pStyle w:val="Standard"/>
        <w:ind w:left="-142" w:right="-144"/>
        <w:jc w:val="center"/>
        <w:rPr>
          <w:rFonts w:ascii="Arial" w:hAnsi="Arial" w:cs="Arial"/>
          <w:b/>
          <w:bCs/>
          <w:sz w:val="28"/>
          <w:szCs w:val="14"/>
        </w:rPr>
      </w:pPr>
      <w:r w:rsidRPr="00F504B4">
        <w:rPr>
          <w:rFonts w:ascii="Arial" w:hAnsi="Arial" w:cs="Arial"/>
          <w:b/>
          <w:bCs/>
          <w:sz w:val="28"/>
          <w:szCs w:val="14"/>
        </w:rPr>
        <w:t xml:space="preserve">NORME </w:t>
      </w:r>
      <w:r>
        <w:rPr>
          <w:rFonts w:ascii="Arial" w:hAnsi="Arial" w:cs="Arial"/>
          <w:b/>
          <w:bCs/>
          <w:sz w:val="28"/>
          <w:szCs w:val="14"/>
        </w:rPr>
        <w:t>TECNICHE</w:t>
      </w:r>
      <w:r w:rsidR="00E7415D">
        <w:rPr>
          <w:rFonts w:ascii="Arial" w:hAnsi="Arial" w:cs="Arial"/>
          <w:b/>
          <w:bCs/>
          <w:sz w:val="28"/>
          <w:szCs w:val="14"/>
        </w:rPr>
        <w:t>: STRUTTURE</w:t>
      </w:r>
    </w:p>
    <w:p w:rsidR="0042222C" w:rsidRPr="005F328E" w:rsidRDefault="0042222C" w:rsidP="0042222C">
      <w:pPr>
        <w:pStyle w:val="Standard"/>
        <w:ind w:left="-142" w:right="-144"/>
        <w:jc w:val="center"/>
        <w:rPr>
          <w:rFonts w:ascii="Arial" w:hAnsi="Arial" w:cs="Arial"/>
          <w:color w:val="FF0000"/>
          <w:sz w:val="16"/>
          <w:szCs w:val="16"/>
        </w:rPr>
      </w:pPr>
    </w:p>
    <w:p w:rsidR="0042222C" w:rsidRPr="005F328E" w:rsidRDefault="0042222C" w:rsidP="0042222C">
      <w:pPr>
        <w:pStyle w:val="Standard"/>
        <w:ind w:left="-142" w:right="-144"/>
        <w:jc w:val="center"/>
        <w:rPr>
          <w:rFonts w:ascii="Arial" w:hAnsi="Arial" w:cs="Arial"/>
          <w:b/>
          <w:color w:val="FF0000"/>
          <w:sz w:val="20"/>
        </w:rPr>
      </w:pPr>
    </w:p>
    <w:p w:rsidR="0042222C" w:rsidRDefault="0042222C" w:rsidP="0042222C">
      <w:pPr>
        <w:pStyle w:val="Standard"/>
        <w:ind w:right="-144"/>
        <w:rPr>
          <w:rFonts w:ascii="Arial" w:hAnsi="Arial" w:cs="Arial"/>
          <w:b/>
          <w:sz w:val="20"/>
        </w:rPr>
      </w:pPr>
      <w:r w:rsidRPr="00400321">
        <w:rPr>
          <w:rFonts w:ascii="Arial" w:hAnsi="Arial" w:cs="Arial"/>
          <w:b/>
        </w:rPr>
        <w:t xml:space="preserve">CODICE DOCUMENTO: </w:t>
      </w:r>
      <w:proofErr w:type="spellStart"/>
      <w:r w:rsidRPr="00360703">
        <w:rPr>
          <w:rFonts w:ascii="Arial" w:hAnsi="Arial" w:cs="Arial"/>
          <w:bCs/>
        </w:rPr>
        <w:t>GE.</w:t>
      </w:r>
      <w:r>
        <w:rPr>
          <w:rFonts w:ascii="Arial" w:hAnsi="Arial" w:cs="Arial"/>
          <w:bCs/>
        </w:rPr>
        <w:t>CSA</w:t>
      </w:r>
      <w:proofErr w:type="spellEnd"/>
      <w:r>
        <w:rPr>
          <w:rFonts w:ascii="Arial" w:hAnsi="Arial" w:cs="Arial"/>
          <w:bCs/>
        </w:rPr>
        <w:t>.03</w:t>
      </w:r>
    </w:p>
    <w:p w:rsidR="0042222C" w:rsidRPr="00446F7C" w:rsidRDefault="0042222C" w:rsidP="0042222C">
      <w:pPr>
        <w:pStyle w:val="Standard"/>
        <w:spacing w:line="276" w:lineRule="auto"/>
        <w:ind w:left="-142" w:right="-144"/>
        <w:jc w:val="center"/>
        <w:rPr>
          <w:rFonts w:ascii="Arial" w:hAnsi="Arial" w:cs="Arial"/>
          <w:b/>
          <w:sz w:val="18"/>
          <w:szCs w:val="18"/>
        </w:rPr>
      </w:pP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b/>
          <w:sz w:val="18"/>
          <w:szCs w:val="18"/>
        </w:rPr>
        <w:t>PROGETTISTA</w:t>
      </w:r>
      <w:r w:rsidRPr="00446F7C">
        <w:rPr>
          <w:rFonts w:ascii="Arial" w:hAnsi="Arial" w:cs="Arial"/>
          <w:b/>
          <w:sz w:val="18"/>
          <w:szCs w:val="18"/>
        </w:rPr>
        <w:tab/>
      </w:r>
      <w:r w:rsidRPr="00446F7C">
        <w:rPr>
          <w:rFonts w:ascii="Arial" w:hAnsi="Arial" w:cs="Arial"/>
          <w:b/>
          <w:sz w:val="18"/>
          <w:szCs w:val="18"/>
        </w:rPr>
        <w:tab/>
      </w:r>
      <w:r w:rsidRPr="00446F7C">
        <w:rPr>
          <w:rFonts w:ascii="Arial" w:hAnsi="Arial" w:cs="Arial"/>
          <w:position w:val="3"/>
          <w:sz w:val="18"/>
          <w:szCs w:val="18"/>
        </w:rPr>
        <w:tab/>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Arch. NICO PANIZZI - </w:t>
      </w:r>
      <w:proofErr w:type="spellStart"/>
      <w:r w:rsidRPr="00446F7C">
        <w:rPr>
          <w:rFonts w:ascii="Arial" w:hAnsi="Arial" w:cs="Arial"/>
          <w:position w:val="3"/>
          <w:sz w:val="18"/>
          <w:szCs w:val="18"/>
        </w:rPr>
        <w:t>Heliopolis</w:t>
      </w:r>
      <w:proofErr w:type="spellEnd"/>
      <w:r w:rsidRPr="00446F7C">
        <w:rPr>
          <w:rFonts w:ascii="Arial" w:hAnsi="Arial" w:cs="Arial"/>
          <w:position w:val="3"/>
          <w:sz w:val="18"/>
          <w:szCs w:val="18"/>
        </w:rPr>
        <w:t xml:space="preserve"> 21 Architetti Associati </w:t>
      </w:r>
    </w:p>
    <w:p w:rsidR="0042222C" w:rsidRPr="00446F7C" w:rsidRDefault="0042222C" w:rsidP="0042222C">
      <w:pPr>
        <w:pStyle w:val="Standard"/>
        <w:tabs>
          <w:tab w:val="left" w:pos="3646"/>
          <w:tab w:val="center" w:pos="4536"/>
        </w:tabs>
        <w:spacing w:before="57" w:line="276" w:lineRule="auto"/>
        <w:ind w:left="90" w:right="-144" w:hanging="90"/>
        <w:rPr>
          <w:rFonts w:ascii="Arial" w:hAnsi="Arial" w:cs="Arial"/>
          <w:position w:val="3"/>
          <w:sz w:val="18"/>
          <w:szCs w:val="18"/>
        </w:rPr>
      </w:pPr>
    </w:p>
    <w:p w:rsidR="0042222C" w:rsidRPr="00446F7C" w:rsidRDefault="0042222C" w:rsidP="0042222C">
      <w:pPr>
        <w:pStyle w:val="Standard"/>
        <w:spacing w:line="276" w:lineRule="auto"/>
        <w:ind w:right="-144"/>
        <w:rPr>
          <w:rFonts w:ascii="Arial" w:hAnsi="Arial" w:cs="Arial"/>
          <w:b/>
          <w:sz w:val="18"/>
          <w:szCs w:val="18"/>
        </w:rPr>
      </w:pPr>
      <w:r w:rsidRPr="00446F7C">
        <w:rPr>
          <w:rFonts w:ascii="Arial" w:hAnsi="Arial" w:cs="Arial"/>
          <w:b/>
          <w:sz w:val="18"/>
          <w:szCs w:val="18"/>
        </w:rPr>
        <w:t xml:space="preserve">TEAM </w:t>
      </w:r>
      <w:proofErr w:type="spellStart"/>
      <w:r w:rsidRPr="00446F7C">
        <w:rPr>
          <w:rFonts w:ascii="Arial" w:hAnsi="Arial" w:cs="Arial"/>
          <w:b/>
          <w:sz w:val="18"/>
          <w:szCs w:val="18"/>
        </w:rPr>
        <w:t>DI</w:t>
      </w:r>
      <w:proofErr w:type="spellEnd"/>
      <w:r w:rsidRPr="00446F7C">
        <w:rPr>
          <w:rFonts w:ascii="Arial" w:hAnsi="Arial" w:cs="Arial"/>
          <w:b/>
          <w:sz w:val="18"/>
          <w:szCs w:val="18"/>
        </w:rPr>
        <w:t xml:space="preserve"> PROGETTAZIONE</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GIAN LUIGI MELIS</w:t>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ALESSANDRO MELIS</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Arch. ILARIA FRUZZETTI </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P. Ed. FILIPPO MARIANI</w:t>
      </w:r>
    </w:p>
    <w:p w:rsidR="0042222C" w:rsidRPr="00446F7C" w:rsidRDefault="0042222C" w:rsidP="0042222C">
      <w:pPr>
        <w:pStyle w:val="Standard"/>
        <w:spacing w:line="276" w:lineRule="auto"/>
        <w:ind w:right="-144"/>
        <w:rPr>
          <w:rFonts w:ascii="Arial" w:hAnsi="Arial" w:cs="Arial"/>
          <w:position w:val="3"/>
          <w:sz w:val="18"/>
          <w:szCs w:val="18"/>
        </w:rPr>
      </w:pP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Ing. MARGHERITA BALDOCCHI</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Ing.  ELISABETTA CONI</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ROBERTO POZIELLO</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Dott.ssa in arch. GAIA PARLANTI </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Dott. in scienze dell'arch. LUCA MARRAS</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LORENZO SHABANI</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MARTINA MANETTI</w:t>
      </w:r>
    </w:p>
    <w:p w:rsidR="0042222C" w:rsidRPr="00446F7C" w:rsidRDefault="0042222C" w:rsidP="0042222C">
      <w:pPr>
        <w:pStyle w:val="Standard"/>
        <w:spacing w:line="276" w:lineRule="auto"/>
        <w:ind w:right="-144"/>
        <w:rPr>
          <w:rFonts w:ascii="Arial" w:hAnsi="Arial" w:cs="Arial"/>
          <w:position w:val="3"/>
          <w:sz w:val="18"/>
          <w:szCs w:val="18"/>
        </w:rPr>
      </w:pPr>
    </w:p>
    <w:p w:rsidR="0042222C" w:rsidRPr="00446F7C" w:rsidRDefault="0042222C" w:rsidP="0042222C">
      <w:pPr>
        <w:spacing w:line="276" w:lineRule="auto"/>
        <w:rPr>
          <w:rFonts w:eastAsia="Arial Unicode MS"/>
          <w:kern w:val="1"/>
          <w:position w:val="3"/>
          <w:sz w:val="18"/>
          <w:szCs w:val="18"/>
          <w:lang w:eastAsia="hi-IN" w:bidi="hi-IN"/>
        </w:rPr>
      </w:pPr>
      <w:proofErr w:type="spellStart"/>
      <w:r w:rsidRPr="00446F7C">
        <w:rPr>
          <w:rFonts w:eastAsia="Arial Unicode MS"/>
          <w:kern w:val="1"/>
          <w:position w:val="3"/>
          <w:sz w:val="18"/>
          <w:szCs w:val="18"/>
          <w:lang w:eastAsia="hi-IN" w:bidi="hi-IN"/>
        </w:rPr>
        <w:t>Heliopolis</w:t>
      </w:r>
      <w:proofErr w:type="spellEnd"/>
      <w:r w:rsidRPr="00446F7C">
        <w:rPr>
          <w:rFonts w:eastAsia="Arial Unicode MS"/>
          <w:kern w:val="1"/>
          <w:position w:val="3"/>
          <w:sz w:val="18"/>
          <w:szCs w:val="18"/>
          <w:lang w:eastAsia="hi-IN" w:bidi="hi-IN"/>
        </w:rPr>
        <w:t xml:space="preserve"> 21 Architetti Associati</w:t>
      </w:r>
    </w:p>
    <w:p w:rsidR="0042222C" w:rsidRPr="00446F7C" w:rsidRDefault="0042222C" w:rsidP="0042222C">
      <w:pPr>
        <w:pStyle w:val="Standard"/>
        <w:tabs>
          <w:tab w:val="left" w:pos="3646"/>
          <w:tab w:val="center" w:pos="4536"/>
        </w:tabs>
        <w:spacing w:before="57" w:line="276" w:lineRule="auto"/>
        <w:ind w:left="90" w:right="-144" w:hanging="90"/>
        <w:rPr>
          <w:rFonts w:ascii="Arial" w:hAnsi="Arial" w:cs="Arial"/>
          <w:position w:val="3"/>
          <w:sz w:val="18"/>
          <w:szCs w:val="18"/>
        </w:rPr>
      </w:pPr>
    </w:p>
    <w:p w:rsidR="0042222C" w:rsidRPr="00446F7C" w:rsidRDefault="0042222C" w:rsidP="0042222C">
      <w:pPr>
        <w:pStyle w:val="Standard"/>
        <w:spacing w:line="276" w:lineRule="auto"/>
        <w:ind w:right="-144"/>
        <w:rPr>
          <w:rFonts w:ascii="Arial" w:hAnsi="Arial" w:cs="Arial"/>
          <w:b/>
          <w:sz w:val="18"/>
          <w:szCs w:val="18"/>
        </w:rPr>
      </w:pPr>
      <w:r w:rsidRPr="00446F7C">
        <w:rPr>
          <w:rFonts w:ascii="Arial" w:hAnsi="Arial" w:cs="Arial"/>
          <w:b/>
          <w:sz w:val="18"/>
          <w:szCs w:val="18"/>
        </w:rPr>
        <w:t xml:space="preserve">COORDINATORE DELLA SICUREZZA IN FASE </w:t>
      </w:r>
      <w:proofErr w:type="spellStart"/>
      <w:r w:rsidRPr="00446F7C">
        <w:rPr>
          <w:rFonts w:ascii="Arial" w:hAnsi="Arial" w:cs="Arial"/>
          <w:b/>
          <w:sz w:val="18"/>
          <w:szCs w:val="18"/>
        </w:rPr>
        <w:t>DI</w:t>
      </w:r>
      <w:proofErr w:type="spellEnd"/>
      <w:r w:rsidRPr="00446F7C">
        <w:rPr>
          <w:rFonts w:ascii="Arial" w:hAnsi="Arial" w:cs="Arial"/>
          <w:b/>
          <w:sz w:val="18"/>
          <w:szCs w:val="18"/>
        </w:rPr>
        <w:t xml:space="preserve"> PROGETTAZIONE</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Arch. GIAN LUIGI MELIS - </w:t>
      </w:r>
      <w:proofErr w:type="spellStart"/>
      <w:r w:rsidRPr="00446F7C">
        <w:rPr>
          <w:rFonts w:ascii="Arial" w:hAnsi="Arial" w:cs="Arial"/>
          <w:position w:val="3"/>
          <w:sz w:val="18"/>
          <w:szCs w:val="18"/>
        </w:rPr>
        <w:t>Heliopolis</w:t>
      </w:r>
      <w:proofErr w:type="spellEnd"/>
      <w:r w:rsidRPr="00446F7C">
        <w:rPr>
          <w:rFonts w:ascii="Arial" w:hAnsi="Arial" w:cs="Arial"/>
          <w:position w:val="3"/>
          <w:sz w:val="18"/>
          <w:szCs w:val="18"/>
        </w:rPr>
        <w:t xml:space="preserve"> 21 Architetti Associati</w:t>
      </w:r>
    </w:p>
    <w:p w:rsidR="0042222C" w:rsidRPr="00446F7C" w:rsidRDefault="0042222C" w:rsidP="0042222C">
      <w:pPr>
        <w:pStyle w:val="Standard"/>
        <w:tabs>
          <w:tab w:val="left" w:pos="3646"/>
          <w:tab w:val="center" w:pos="4536"/>
        </w:tabs>
        <w:spacing w:line="276" w:lineRule="auto"/>
        <w:ind w:left="90" w:right="-144" w:hanging="90"/>
        <w:rPr>
          <w:rFonts w:ascii="Arial" w:hAnsi="Arial" w:cs="Arial"/>
          <w:position w:val="3"/>
          <w:sz w:val="18"/>
          <w:szCs w:val="18"/>
        </w:rPr>
      </w:pPr>
    </w:p>
    <w:p w:rsidR="0042222C" w:rsidRPr="00446F7C" w:rsidRDefault="0042222C" w:rsidP="0042222C">
      <w:pPr>
        <w:pStyle w:val="Standard"/>
        <w:spacing w:line="276" w:lineRule="auto"/>
        <w:ind w:right="-144"/>
        <w:rPr>
          <w:rFonts w:ascii="Arial" w:hAnsi="Arial" w:cs="Arial"/>
          <w:b/>
          <w:sz w:val="18"/>
          <w:szCs w:val="18"/>
        </w:rPr>
      </w:pPr>
      <w:r w:rsidRPr="00446F7C">
        <w:rPr>
          <w:rFonts w:ascii="Arial" w:hAnsi="Arial" w:cs="Arial"/>
          <w:b/>
          <w:sz w:val="18"/>
          <w:szCs w:val="18"/>
        </w:rPr>
        <w:t>CONSULENTI</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progetto opere strutturali - Ing. </w:t>
      </w:r>
      <w:r>
        <w:rPr>
          <w:rFonts w:ascii="Arial" w:hAnsi="Arial" w:cs="Arial"/>
          <w:position w:val="3"/>
          <w:sz w:val="18"/>
          <w:szCs w:val="18"/>
        </w:rPr>
        <w:t>GIANNI MICHELON - MAD Ingegneria srl</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progetto opere elettriche - Ing. </w:t>
      </w:r>
      <w:r>
        <w:rPr>
          <w:rFonts w:ascii="Arial" w:hAnsi="Arial" w:cs="Arial"/>
          <w:position w:val="3"/>
          <w:sz w:val="18"/>
          <w:szCs w:val="18"/>
        </w:rPr>
        <w:t>MASSIMILIANO MICHELETTI</w:t>
      </w:r>
      <w:r w:rsidRPr="00446F7C">
        <w:rPr>
          <w:rFonts w:ascii="Arial" w:hAnsi="Arial" w:cs="Arial"/>
          <w:position w:val="3"/>
          <w:sz w:val="18"/>
          <w:szCs w:val="18"/>
        </w:rPr>
        <w:t xml:space="preserve"> - Studio </w:t>
      </w:r>
      <w:proofErr w:type="spellStart"/>
      <w:r w:rsidRPr="00446F7C">
        <w:rPr>
          <w:rFonts w:ascii="Arial" w:hAnsi="Arial" w:cs="Arial"/>
          <w:position w:val="3"/>
          <w:sz w:val="18"/>
          <w:szCs w:val="18"/>
        </w:rPr>
        <w:t>Tecnotre</w:t>
      </w:r>
      <w:proofErr w:type="spellEnd"/>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Relazioni e indagini geologiche - Dott.ssa Geol. </w:t>
      </w:r>
      <w:r>
        <w:rPr>
          <w:rFonts w:ascii="Arial" w:hAnsi="Arial" w:cs="Arial"/>
          <w:position w:val="3"/>
          <w:sz w:val="18"/>
          <w:szCs w:val="18"/>
        </w:rPr>
        <w:t>FRANCESCA FRANCHI</w:t>
      </w:r>
      <w:r w:rsidRPr="00446F7C">
        <w:rPr>
          <w:rFonts w:ascii="Arial" w:hAnsi="Arial" w:cs="Arial"/>
          <w:position w:val="3"/>
          <w:sz w:val="18"/>
          <w:szCs w:val="18"/>
        </w:rPr>
        <w:t xml:space="preserve"> - Studio Associato Geoprogetti</w:t>
      </w:r>
    </w:p>
    <w:p w:rsidR="0042222C" w:rsidRPr="00446F7C" w:rsidRDefault="0042222C" w:rsidP="0042222C">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idraulica - Ing. </w:t>
      </w:r>
      <w:r>
        <w:rPr>
          <w:rFonts w:ascii="Arial" w:hAnsi="Arial" w:cs="Arial"/>
          <w:position w:val="3"/>
          <w:sz w:val="18"/>
          <w:szCs w:val="18"/>
        </w:rPr>
        <w:t>JACOPO TACCINI</w:t>
      </w:r>
    </w:p>
    <w:p w:rsidR="0042222C" w:rsidRDefault="0042222C" w:rsidP="0042222C">
      <w:pPr>
        <w:pStyle w:val="Standard"/>
        <w:spacing w:before="57"/>
        <w:jc w:val="both"/>
        <w:rPr>
          <w:rFonts w:ascii="Arial" w:hAnsi="Arial" w:cs="Arial"/>
          <w:position w:val="3"/>
          <w:sz w:val="20"/>
        </w:rPr>
      </w:pPr>
      <w:r w:rsidRPr="00302E33">
        <w:rPr>
          <w:rFonts w:ascii="Arial" w:hAnsi="Arial" w:cs="Arial"/>
          <w:position w:val="3"/>
          <w:sz w:val="18"/>
          <w:szCs w:val="18"/>
        </w:rPr>
        <w:t xml:space="preserve">                                                                  </w:t>
      </w:r>
      <w:r w:rsidRPr="00BD4AFA">
        <w:rPr>
          <w:rFonts w:ascii="Arial" w:hAnsi="Arial" w:cs="Arial"/>
          <w:position w:val="3"/>
          <w:sz w:val="20"/>
        </w:rPr>
        <w:t xml:space="preserve">                                           </w:t>
      </w:r>
    </w:p>
    <w:p w:rsidR="0042222C" w:rsidRPr="0042222C" w:rsidRDefault="0042222C" w:rsidP="0042222C">
      <w:pPr>
        <w:pStyle w:val="Standard"/>
        <w:spacing w:before="57"/>
        <w:jc w:val="both"/>
        <w:rPr>
          <w:rFonts w:ascii="Arial" w:hAnsi="Arial" w:cs="Arial"/>
          <w:position w:val="3"/>
          <w:sz w:val="20"/>
        </w:rPr>
      </w:pP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proofErr w:type="spellStart"/>
      <w:r w:rsidRPr="00F3777B">
        <w:rPr>
          <w:rFonts w:ascii="Arial" w:hAnsi="Arial" w:cs="Arial"/>
          <w:position w:val="3"/>
          <w:sz w:val="20"/>
        </w:rPr>
        <w:t>Peccioli</w:t>
      </w:r>
      <w:proofErr w:type="spellEnd"/>
      <w:r w:rsidRPr="00F3777B">
        <w:rPr>
          <w:rFonts w:ascii="Arial" w:hAnsi="Arial" w:cs="Arial"/>
          <w:position w:val="3"/>
          <w:sz w:val="20"/>
        </w:rPr>
        <w:t>, Giugno 2026</w:t>
      </w:r>
    </w:p>
    <w:p w:rsidR="00F252A3" w:rsidRPr="00484DB6" w:rsidRDefault="00F252A3" w:rsidP="00F252A3">
      <w:pPr>
        <w:spacing w:line="360" w:lineRule="atLeast"/>
        <w:jc w:val="center"/>
        <w:rPr>
          <w:rFonts w:cs="Arial"/>
          <w:b/>
          <w:sz w:val="36"/>
        </w:rPr>
      </w:pPr>
      <w:r w:rsidRPr="00484DB6">
        <w:rPr>
          <w:rFonts w:cs="Arial"/>
          <w:b/>
          <w:sz w:val="36"/>
        </w:rPr>
        <w:lastRenderedPageBreak/>
        <w:t>CAPITOLO 1</w:t>
      </w:r>
    </w:p>
    <w:p w:rsidR="00F252A3" w:rsidRPr="00484DB6" w:rsidRDefault="00F252A3" w:rsidP="00AE6D7A">
      <w:pPr>
        <w:rPr>
          <w:rFonts w:cs="Arial"/>
          <w:b/>
        </w:rPr>
      </w:pPr>
    </w:p>
    <w:p w:rsidR="00F252A3" w:rsidRPr="00AE6D7A" w:rsidRDefault="00F252A3" w:rsidP="00AE6D7A">
      <w:pPr>
        <w:spacing w:line="360" w:lineRule="atLeast"/>
        <w:jc w:val="center"/>
        <w:rPr>
          <w:rFonts w:cs="Arial"/>
          <w:b/>
        </w:rPr>
      </w:pPr>
      <w:r w:rsidRPr="00484DB6">
        <w:rPr>
          <w:rFonts w:cs="Arial"/>
          <w:b/>
        </w:rPr>
        <w:t>NORME PER LA MISURAZIONE E VALUTAZIONE DEI LAVORI</w:t>
      </w:r>
    </w:p>
    <w:p w:rsidR="00F252A3" w:rsidRPr="00484DB6" w:rsidRDefault="00F252A3" w:rsidP="00F252A3">
      <w:pPr>
        <w:rPr>
          <w:rFonts w:cs="Arial"/>
        </w:rPr>
      </w:pPr>
    </w:p>
    <w:p w:rsidR="00F252A3" w:rsidRPr="00484DB6" w:rsidRDefault="00F252A3" w:rsidP="00F252A3">
      <w:pPr>
        <w:jc w:val="center"/>
        <w:rPr>
          <w:rFonts w:cs="Arial"/>
          <w:sz w:val="20"/>
        </w:rPr>
      </w:pPr>
      <w:bookmarkStart w:id="2" w:name="590"/>
      <w:bookmarkEnd w:id="2"/>
      <w:r w:rsidRPr="00484DB6">
        <w:rPr>
          <w:rFonts w:cs="Arial"/>
          <w:b/>
          <w:sz w:val="20"/>
        </w:rPr>
        <w:t>Art. 1.1</w:t>
      </w:r>
    </w:p>
    <w:p w:rsidR="00F252A3" w:rsidRDefault="00F252A3" w:rsidP="00F252A3">
      <w:pPr>
        <w:pStyle w:val="Intestazione"/>
        <w:widowControl/>
        <w:jc w:val="center"/>
        <w:rPr>
          <w:rFonts w:cs="Arial"/>
          <w:b/>
          <w:szCs w:val="24"/>
        </w:rPr>
      </w:pPr>
      <w:r w:rsidRPr="00484DB6">
        <w:rPr>
          <w:rFonts w:cs="Arial"/>
          <w:b/>
          <w:szCs w:val="24"/>
        </w:rPr>
        <w:t>NORME GENERALI</w:t>
      </w:r>
    </w:p>
    <w:p w:rsidR="00AE6D7A" w:rsidRPr="00484DB6" w:rsidRDefault="00AE6D7A" w:rsidP="00F252A3">
      <w:pPr>
        <w:pStyle w:val="Intestazione"/>
        <w:widowControl/>
        <w:jc w:val="center"/>
        <w:rPr>
          <w:rFonts w:cs="Arial"/>
          <w:szCs w:val="24"/>
        </w:rPr>
      </w:pPr>
    </w:p>
    <w:p w:rsidR="00AE6D7A" w:rsidRDefault="00AE6D7A" w:rsidP="00AE6D7A">
      <w:pPr>
        <w:widowControl/>
        <w:rPr>
          <w:rFonts w:cs="Arial"/>
          <w:b/>
          <w:sz w:val="20"/>
        </w:rPr>
      </w:pPr>
    </w:p>
    <w:p w:rsidR="00AE6D7A" w:rsidRDefault="00F252A3" w:rsidP="00AE6D7A">
      <w:pPr>
        <w:widowControl/>
        <w:rPr>
          <w:rFonts w:cs="Arial"/>
          <w:b/>
          <w:sz w:val="20"/>
        </w:rPr>
      </w:pPr>
      <w:r w:rsidRPr="00484DB6">
        <w:rPr>
          <w:rFonts w:cs="Arial"/>
          <w:b/>
          <w:sz w:val="20"/>
        </w:rPr>
        <w:t>Generalità</w:t>
      </w:r>
    </w:p>
    <w:p w:rsidR="00AE6D7A" w:rsidRDefault="00AE6D7A" w:rsidP="00AE6D7A">
      <w:pPr>
        <w:widowControl/>
        <w:rPr>
          <w:rFonts w:cs="Arial"/>
          <w:b/>
          <w:sz w:val="20"/>
        </w:rPr>
      </w:pPr>
    </w:p>
    <w:p w:rsidR="00F252A3" w:rsidRPr="00484DB6" w:rsidRDefault="00F252A3" w:rsidP="00AE6D7A">
      <w:pPr>
        <w:widowControl/>
        <w:rPr>
          <w:rFonts w:cs="Arial"/>
          <w:sz w:val="20"/>
        </w:rPr>
      </w:pPr>
      <w:r w:rsidRPr="00484DB6">
        <w:rPr>
          <w:rFonts w:cs="Arial"/>
          <w:sz w:val="20"/>
        </w:rPr>
        <w:t>La quantità dei lavori e delle provviste sarà determinata a misura, a peso, a corpo, in relazione a quanto previsto nell'elenco dei prezzi allegato.</w:t>
      </w:r>
    </w:p>
    <w:p w:rsidR="00F252A3" w:rsidRPr="00484DB6" w:rsidRDefault="00F252A3" w:rsidP="00F252A3">
      <w:pPr>
        <w:widowControl/>
        <w:ind w:firstLine="284"/>
        <w:rPr>
          <w:rFonts w:cs="Arial"/>
          <w:sz w:val="20"/>
        </w:rPr>
      </w:pPr>
      <w:r w:rsidRPr="00484DB6">
        <w:rPr>
          <w:rFonts w:cs="Arial"/>
          <w:sz w:val="20"/>
        </w:rPr>
        <w:t>Le misure verranno rilevate in contraddittorio in base all'effettiva esecuzione. Qualora esse risultino maggiori di quelle indicate nei grafici di progetto o di quelle ordinate dalla Direzione, le eccedenze non verranno contabilizzate. Soltanto nel caso che la Direzione dei Lavori abbia ordinato per iscritto maggiori dimensioni se ne terrà conto nella contabilizzazione.</w:t>
      </w:r>
    </w:p>
    <w:p w:rsidR="00F252A3" w:rsidRPr="00484DB6" w:rsidRDefault="00F252A3" w:rsidP="00F252A3">
      <w:pPr>
        <w:widowControl/>
        <w:ind w:firstLine="284"/>
        <w:rPr>
          <w:rFonts w:cs="Arial"/>
          <w:sz w:val="20"/>
        </w:rPr>
      </w:pPr>
      <w:r w:rsidRPr="00484DB6">
        <w:rPr>
          <w:rFonts w:cs="Arial"/>
          <w:sz w:val="20"/>
        </w:rPr>
        <w:t>In nessun caso saranno tollerate dimensioni minori di quelle ordinate, le quali potranno essere motivo di rifacimento a carico dell'Appaltatore. Resta sempre salva in ogni caso la possibilità di verifica e rettifica in occasione delle operazioni di collaudo.</w:t>
      </w:r>
    </w:p>
    <w:p w:rsidR="00F252A3" w:rsidRPr="00484DB6" w:rsidRDefault="00F252A3" w:rsidP="00F252A3">
      <w:pPr>
        <w:widowControl/>
        <w:rPr>
          <w:rFonts w:cs="Arial"/>
          <w:b/>
          <w:sz w:val="20"/>
        </w:rPr>
      </w:pPr>
    </w:p>
    <w:p w:rsidR="00F252A3" w:rsidRPr="00484DB6" w:rsidRDefault="00F252A3" w:rsidP="00F252A3">
      <w:pPr>
        <w:widowControl/>
        <w:rPr>
          <w:rFonts w:cs="Arial"/>
          <w:b/>
          <w:sz w:val="20"/>
        </w:rPr>
      </w:pPr>
      <w:r w:rsidRPr="00484DB6">
        <w:rPr>
          <w:rFonts w:cs="Arial"/>
          <w:b/>
          <w:sz w:val="20"/>
        </w:rPr>
        <w:t>Contabilizzazione dei lavori a corpo e/o a misura</w:t>
      </w:r>
    </w:p>
    <w:p w:rsidR="00F252A3" w:rsidRPr="00484DB6" w:rsidRDefault="00F252A3" w:rsidP="00F252A3">
      <w:pPr>
        <w:widowControl/>
        <w:ind w:firstLine="284"/>
        <w:rPr>
          <w:rFonts w:cs="Arial"/>
          <w:sz w:val="20"/>
        </w:rPr>
      </w:pPr>
      <w:r w:rsidRPr="00484DB6">
        <w:rPr>
          <w:rFonts w:cs="Arial"/>
          <w:sz w:val="20"/>
        </w:rPr>
        <w:t>La contabilizzazione dei lavori a misura sarà realizzata secondo le specificazioni date nelle norme del presente Capitolato speciale e nella descrizione delle singole voci di elenco prezzi; in caso diverso verranno utilizzate per la valutazione dei lavori le dimensioni nette delle opere eseguite rilevate in sito, senza che l’appaltatore possa far valere criteri di misurazione o coefficienti moltiplicatori che modifichino le quantità realmente poste in opera.</w:t>
      </w:r>
    </w:p>
    <w:p w:rsidR="00F252A3" w:rsidRPr="00484DB6" w:rsidRDefault="00F252A3" w:rsidP="00F252A3">
      <w:pPr>
        <w:widowControl/>
        <w:ind w:firstLine="284"/>
        <w:rPr>
          <w:rFonts w:cs="Arial"/>
          <w:sz w:val="20"/>
        </w:rPr>
      </w:pPr>
      <w:r w:rsidRPr="00484DB6">
        <w:rPr>
          <w:rFonts w:cs="Arial"/>
          <w:sz w:val="20"/>
        </w:rPr>
        <w:t>La contabilizzazione delle opere sarà effettuata applicando alle quantità eseguite i prezzi unitari di contratto. Nel caso di appalti aggiudicati col criterio dell’OEPV (Offerta Economicamente Più Vantaggiosa) si terrà conto di eventuali lavorazioni diverse o aggiuntive derivanti dall’offerta tecnica dell'appaltatore, contabilizzandole utilizzando i prezzi unitari relativi alle lavorazioni sostituite, come desunti dall’offerta stessa.</w:t>
      </w:r>
    </w:p>
    <w:p w:rsidR="00F252A3" w:rsidRPr="00484DB6" w:rsidRDefault="00F252A3" w:rsidP="00F252A3">
      <w:pPr>
        <w:widowControl/>
        <w:ind w:firstLine="284"/>
        <w:rPr>
          <w:rFonts w:cs="Arial"/>
          <w:b/>
          <w:sz w:val="20"/>
        </w:rPr>
      </w:pPr>
      <w:r w:rsidRPr="00484DB6">
        <w:rPr>
          <w:rFonts w:cs="Arial"/>
          <w:sz w:val="20"/>
        </w:rPr>
        <w:t>La contabilizzazione dei lavori a corpo sarà effettuata applicando all’importo delle opere a corpo, al netto del ribasso contrattuale, le percentuali convenzionali relative alle singole categorie di lavoro indicate in perizia, di ciascuna delle quali andrà contabilizzata la quota parte in proporzione al lavoro eseguito.</w:t>
      </w:r>
    </w:p>
    <w:p w:rsidR="00F252A3" w:rsidRPr="00484DB6" w:rsidRDefault="00F252A3" w:rsidP="00F252A3">
      <w:pPr>
        <w:widowControl/>
        <w:rPr>
          <w:rFonts w:cs="Arial"/>
          <w:b/>
          <w:sz w:val="20"/>
        </w:rPr>
      </w:pPr>
    </w:p>
    <w:p w:rsidR="00F252A3" w:rsidRPr="00484DB6" w:rsidRDefault="00F252A3" w:rsidP="00F252A3">
      <w:pPr>
        <w:widowControl/>
        <w:rPr>
          <w:rFonts w:cs="Arial"/>
          <w:b/>
          <w:sz w:val="20"/>
        </w:rPr>
      </w:pPr>
      <w:r w:rsidRPr="00484DB6">
        <w:rPr>
          <w:rFonts w:cs="Arial"/>
          <w:b/>
          <w:sz w:val="20"/>
        </w:rPr>
        <w:t>Lavori in economia</w:t>
      </w:r>
    </w:p>
    <w:p w:rsidR="00F252A3" w:rsidRPr="00484DB6" w:rsidRDefault="00F252A3" w:rsidP="00F252A3">
      <w:pPr>
        <w:widowControl/>
        <w:ind w:firstLine="284"/>
        <w:rPr>
          <w:rFonts w:cs="Arial"/>
          <w:sz w:val="20"/>
        </w:rPr>
      </w:pPr>
      <w:r w:rsidRPr="00484DB6">
        <w:rPr>
          <w:rFonts w:cs="Arial"/>
          <w:sz w:val="20"/>
        </w:rPr>
        <w:t>Nell’eventualità siano contemplate delle somme a disposizione per lavori in economia tali lavori non daranno luogo ad una valutazione a misura, ma saranno inseriti nella contabilità secondo i prezzi di elenco per l'importo delle somministrazioni al netto del ribasso d'asta, per quanto riguarda i materiali. Per la mano d'opera, trasporti e noli, saranno liquidati secondo le tariffe locali vigenti al momento dell'esecuzione dei lavori incrementati di spese generali ed utili e con applicazione del ribasso d'asta esclusivamente su questi ultimi due addendi.</w:t>
      </w:r>
    </w:p>
    <w:p w:rsidR="00F252A3" w:rsidRPr="00484DB6" w:rsidRDefault="00F252A3" w:rsidP="00F252A3">
      <w:pPr>
        <w:widowControl/>
        <w:rPr>
          <w:rFonts w:cs="Arial"/>
          <w:b/>
          <w:sz w:val="20"/>
        </w:rPr>
      </w:pPr>
    </w:p>
    <w:p w:rsidR="00F252A3" w:rsidRPr="00484DB6" w:rsidRDefault="00F252A3" w:rsidP="00F252A3">
      <w:pPr>
        <w:widowControl/>
        <w:rPr>
          <w:rFonts w:cs="Arial"/>
          <w:b/>
          <w:sz w:val="20"/>
        </w:rPr>
      </w:pPr>
      <w:r w:rsidRPr="00484DB6">
        <w:rPr>
          <w:rFonts w:cs="Arial"/>
          <w:b/>
          <w:sz w:val="20"/>
        </w:rPr>
        <w:t>Contabilizzazione delle varianti</w:t>
      </w:r>
    </w:p>
    <w:p w:rsidR="00F252A3" w:rsidRPr="00484DB6" w:rsidRDefault="00F252A3" w:rsidP="00F252A3">
      <w:pPr>
        <w:widowControl/>
        <w:ind w:firstLine="284"/>
        <w:rPr>
          <w:rFonts w:cs="Arial"/>
          <w:sz w:val="20"/>
        </w:rPr>
      </w:pPr>
      <w:r w:rsidRPr="00484DB6">
        <w:rPr>
          <w:rFonts w:cs="Arial"/>
          <w:sz w:val="20"/>
        </w:rPr>
        <w:t>Nel caso di variante in corso d'opera gli importi in più ed in meno sono valutati con i prezzi di progetto e soggetti al ribasso d'asta che ha determinato l'aggiudicazione della gara ovvero con i prezzi offerti dall'appaltatore nella lista in sede di gara.</w:t>
      </w:r>
    </w:p>
    <w:p w:rsidR="00F252A3" w:rsidRPr="00484DB6" w:rsidRDefault="00F252A3" w:rsidP="00F252A3">
      <w:pPr>
        <w:widowControl/>
        <w:rPr>
          <w:rFonts w:cs="Arial"/>
          <w:sz w:val="20"/>
        </w:rPr>
      </w:pPr>
    </w:p>
    <w:p w:rsidR="00F252A3" w:rsidRPr="00484DB6" w:rsidRDefault="00F252A3" w:rsidP="00F252A3">
      <w:pPr>
        <w:ind w:firstLine="284"/>
        <w:rPr>
          <w:rFonts w:cs="Arial"/>
          <w:sz w:val="20"/>
        </w:rPr>
      </w:pPr>
      <w:r w:rsidRPr="00484DB6">
        <w:rPr>
          <w:rFonts w:cs="Arial"/>
          <w:sz w:val="20"/>
        </w:rPr>
        <w:t>Le norme di misurazione per la contabilizzazione saranno le seguenti:</w:t>
      </w:r>
    </w:p>
    <w:p w:rsidR="00C749CF" w:rsidRDefault="00C749CF" w:rsidP="00F252A3">
      <w:pPr>
        <w:rPr>
          <w:rFonts w:cs="Arial"/>
          <w:vanish/>
          <w:sz w:val="14"/>
        </w:rPr>
      </w:pPr>
    </w:p>
    <w:p w:rsidR="00F252A3" w:rsidRPr="00484DB6" w:rsidRDefault="00F252A3" w:rsidP="00F252A3">
      <w:pPr>
        <w:rPr>
          <w:rFonts w:cs="Arial"/>
          <w:sz w:val="20"/>
        </w:rPr>
      </w:pPr>
      <w:r w:rsidRPr="00484DB6">
        <w:rPr>
          <w:rFonts w:cs="Arial"/>
          <w:b/>
          <w:sz w:val="20"/>
        </w:rPr>
        <w:t>1.1.1) Paratie di calcestruzzo armato</w:t>
      </w:r>
    </w:p>
    <w:p w:rsidR="00F252A3" w:rsidRPr="00484DB6" w:rsidRDefault="00F252A3" w:rsidP="00F252A3">
      <w:pPr>
        <w:ind w:right="1" w:firstLine="283"/>
        <w:rPr>
          <w:rFonts w:cs="Arial"/>
          <w:sz w:val="20"/>
        </w:rPr>
      </w:pPr>
      <w:r w:rsidRPr="00484DB6">
        <w:rPr>
          <w:rFonts w:cs="Arial"/>
          <w:sz w:val="20"/>
        </w:rPr>
        <w:t>Saranno valutate per la loro superficie misurata tra le quote di imposta e la quota di testata della trave superiore di collegamento.</w:t>
      </w:r>
    </w:p>
    <w:p w:rsidR="00F252A3" w:rsidRPr="00484DB6" w:rsidRDefault="00F252A3" w:rsidP="00F252A3">
      <w:pPr>
        <w:ind w:right="1" w:firstLine="283"/>
        <w:rPr>
          <w:rFonts w:cs="Arial"/>
          <w:sz w:val="20"/>
        </w:rPr>
      </w:pPr>
      <w:r w:rsidRPr="00484DB6">
        <w:rPr>
          <w:rFonts w:cs="Arial"/>
          <w:sz w:val="20"/>
        </w:rPr>
        <w:t>Nel prezzo sono compresi tutti gli oneri per la trivellazione, la fornitura ed il getto del calcestruzzo, la fornitura e posa del ferro d'armatura, la formazione e successiva demolizione delle corree di guida nonché la scapitozzatura, la formazione della trave superiore di collegamento, l'impiego di fanghi bentonitici, l'allontanamento dal cantiere di tutti i materiali di risulta e gli spostamenti delle attrezzature.</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bookmarkStart w:id="3" w:name="596"/>
      <w:bookmarkEnd w:id="3"/>
      <w:r w:rsidRPr="00484DB6">
        <w:rPr>
          <w:rFonts w:cs="Arial"/>
          <w:b/>
          <w:sz w:val="20"/>
        </w:rPr>
        <w:lastRenderedPageBreak/>
        <w:t>1.1.2) Murature in genere</w:t>
      </w:r>
    </w:p>
    <w:p w:rsidR="00F252A3" w:rsidRPr="00484DB6" w:rsidRDefault="00F252A3" w:rsidP="00F252A3">
      <w:pPr>
        <w:widowControl/>
        <w:ind w:firstLine="284"/>
        <w:rPr>
          <w:rFonts w:cs="Arial"/>
          <w:sz w:val="20"/>
        </w:rPr>
      </w:pPr>
      <w:r w:rsidRPr="00484DB6">
        <w:rPr>
          <w:rFonts w:cs="Arial"/>
          <w:sz w:val="20"/>
        </w:rPr>
        <w:t>Tutte le murature in genere, salvo le eccezioni di seguito specificate, saranno misurate geometricamente, a volume od a superficie, secondo la categoria, in base a misure prese sul vivo dei muri, esclusi cioè gli intonaci. Sarà fatta deduzione di tutti i vuoti di luce superiore a 1,00 m</w:t>
      </w:r>
      <w:r w:rsidRPr="00484DB6">
        <w:rPr>
          <w:rFonts w:cs="Arial"/>
          <w:sz w:val="20"/>
          <w:vertAlign w:val="superscript"/>
        </w:rPr>
        <w:t>2</w:t>
      </w:r>
      <w:r w:rsidRPr="00484DB6">
        <w:rPr>
          <w:rFonts w:cs="Arial"/>
          <w:sz w:val="20"/>
        </w:rPr>
        <w:t xml:space="preserve"> e dei vuoti di canne fumarie, canalizzazioni, ecc., che abbiano sezione superiore a 0,25 m</w:t>
      </w:r>
      <w:r w:rsidRPr="00484DB6">
        <w:rPr>
          <w:rFonts w:cs="Arial"/>
          <w:sz w:val="20"/>
          <w:vertAlign w:val="superscript"/>
        </w:rPr>
        <w:t>2</w:t>
      </w:r>
      <w:r w:rsidRPr="00484DB6">
        <w:rPr>
          <w:rFonts w:cs="Arial"/>
          <w:sz w:val="20"/>
        </w:rPr>
        <w:t>, rimanendo per questi ultimi, all'Appaltatore, l'onere della loro eventuale chiusura con materiale idoneo. Così pure sarà sempre fatta deduzione del volume corrispondente alla parte incastrata di pilastri, piattabande, ecc., di strutture diverse nonché di pietre naturali od artificiali, da pagarsi con altri prezzi di tariffa.</w:t>
      </w:r>
    </w:p>
    <w:p w:rsidR="00F252A3" w:rsidRPr="00484DB6" w:rsidRDefault="00F252A3" w:rsidP="00F252A3">
      <w:pPr>
        <w:widowControl/>
        <w:ind w:firstLine="284"/>
        <w:rPr>
          <w:rFonts w:cs="Arial"/>
          <w:sz w:val="20"/>
        </w:rPr>
      </w:pPr>
      <w:r w:rsidRPr="00484DB6">
        <w:rPr>
          <w:rFonts w:cs="Arial"/>
          <w:sz w:val="20"/>
        </w:rPr>
        <w:t>Nei prezzi unitari delle murature di qualsiasi genere, qualora non debbano essere eseguite con paramento di faccia vista, si intende compreso il rinzaffo delle facce visibili dei muri. Tale rinzaffo sarà sempre eseguito, ed è compreso nel prezzo unitario, anche a tergo dei muri che debbono essere poi caricati a terrapieni. Per questi ultimi muri è pure sempre compresa l'eventuale formazione di feritoie regolari e regolarmente disposte per lo scolo delle acque ed in generale quella delle immorsature e la costruzione di tutti gli incastri per la posa in opera della pietra da taglio od artificiale.</w:t>
      </w:r>
    </w:p>
    <w:p w:rsidR="00F252A3" w:rsidRPr="00484DB6" w:rsidRDefault="00F252A3" w:rsidP="00F252A3">
      <w:pPr>
        <w:widowControl/>
        <w:ind w:firstLine="284"/>
        <w:rPr>
          <w:rFonts w:cs="Arial"/>
          <w:sz w:val="20"/>
        </w:rPr>
      </w:pPr>
      <w:r w:rsidRPr="00484DB6">
        <w:rPr>
          <w:rFonts w:cs="Arial"/>
          <w:sz w:val="20"/>
        </w:rPr>
        <w:t>Nei prezzi della muratura di qualsiasi specie si intende compreso ogni onere per la formazione di spalle, sguinci, canne, spigoli, strombature, incassature per imposte di archi, volte e piattabande.</w:t>
      </w:r>
    </w:p>
    <w:p w:rsidR="00F252A3" w:rsidRPr="00484DB6" w:rsidRDefault="00F252A3" w:rsidP="00F252A3">
      <w:pPr>
        <w:widowControl/>
        <w:ind w:firstLine="284"/>
        <w:rPr>
          <w:rFonts w:cs="Arial"/>
          <w:sz w:val="20"/>
        </w:rPr>
      </w:pPr>
      <w:r w:rsidRPr="00484DB6">
        <w:rPr>
          <w:rFonts w:cs="Arial"/>
          <w:sz w:val="20"/>
        </w:rPr>
        <w:t>Qualunque sia la curvatura data alla pianta ed alle sezioni dei muri, anche se si debbano costruire sotto raggio, le relative murature non potranno essere comprese nella categoria delle volte e saranno valutate con i prezzi delle murature rette senza alcun compenso in più.</w:t>
      </w:r>
    </w:p>
    <w:p w:rsidR="00F252A3" w:rsidRPr="00484DB6" w:rsidRDefault="00F252A3" w:rsidP="00F252A3">
      <w:pPr>
        <w:widowControl/>
        <w:ind w:firstLine="284"/>
        <w:rPr>
          <w:rFonts w:cs="Arial"/>
          <w:sz w:val="20"/>
        </w:rPr>
      </w:pPr>
      <w:r w:rsidRPr="00484DB6">
        <w:rPr>
          <w:rFonts w:cs="Arial"/>
          <w:sz w:val="20"/>
        </w:rPr>
        <w:t>Le ossature di cornici, cornicioni, lesene, pilastri, ecc., di aggetto superiore a 5 cm sul filo esterno del muro, saranno valutate per il loro volume effettivo in aggetto con l'applicazione dei prezzi di tariffa stabiliti per le murature.</w:t>
      </w:r>
    </w:p>
    <w:p w:rsidR="00F252A3" w:rsidRPr="00484DB6" w:rsidRDefault="00F252A3" w:rsidP="00F252A3">
      <w:pPr>
        <w:widowControl/>
        <w:ind w:firstLine="284"/>
        <w:rPr>
          <w:rFonts w:cs="Arial"/>
          <w:sz w:val="20"/>
        </w:rPr>
      </w:pPr>
      <w:r w:rsidRPr="00484DB6">
        <w:rPr>
          <w:rFonts w:cs="Arial"/>
          <w:sz w:val="20"/>
        </w:rPr>
        <w:t>Per le ossature di aggetto inferiore ai 5 cm non verrà applicato alcun sovrapprezzo.</w:t>
      </w:r>
    </w:p>
    <w:p w:rsidR="00F252A3" w:rsidRPr="00484DB6" w:rsidRDefault="00F252A3" w:rsidP="00F252A3">
      <w:pPr>
        <w:widowControl/>
        <w:ind w:firstLine="284"/>
        <w:rPr>
          <w:rFonts w:cs="Arial"/>
          <w:sz w:val="20"/>
        </w:rPr>
      </w:pPr>
      <w:r w:rsidRPr="00484DB6">
        <w:rPr>
          <w:rFonts w:cs="Arial"/>
          <w:sz w:val="20"/>
        </w:rPr>
        <w:t>Quando la muratura in aggetto è diversa da quella del muro sul quale insiste, la parte incastrata sarà considerata come della stessa specie del muro stesso.</w:t>
      </w:r>
    </w:p>
    <w:p w:rsidR="00F252A3" w:rsidRPr="00484DB6" w:rsidRDefault="00F252A3" w:rsidP="00F252A3">
      <w:pPr>
        <w:widowControl/>
        <w:ind w:firstLine="284"/>
        <w:rPr>
          <w:rFonts w:cs="Arial"/>
          <w:sz w:val="20"/>
        </w:rPr>
      </w:pPr>
      <w:r w:rsidRPr="00484DB6">
        <w:rPr>
          <w:rFonts w:cs="Arial"/>
          <w:sz w:val="20"/>
        </w:rPr>
        <w:t>Le murature di mattoni ad una testa od in foglio si misureranno a vuoto per pieno, al rustico, deducendo soltanto le aperture di superficie uguale o superiori a 1 m</w:t>
      </w:r>
      <w:r w:rsidRPr="00484DB6">
        <w:rPr>
          <w:rFonts w:cs="Arial"/>
          <w:sz w:val="20"/>
          <w:vertAlign w:val="superscript"/>
        </w:rPr>
        <w:t>2</w:t>
      </w:r>
      <w:r w:rsidRPr="00484DB6">
        <w:rPr>
          <w:rFonts w:cs="Arial"/>
          <w:sz w:val="20"/>
        </w:rPr>
        <w:t xml:space="preserve">, intendendo nel prezzo compensata la formazione di </w:t>
      </w:r>
      <w:proofErr w:type="spellStart"/>
      <w:r w:rsidRPr="00484DB6">
        <w:rPr>
          <w:rFonts w:cs="Arial"/>
          <w:sz w:val="20"/>
        </w:rPr>
        <w:t>sordini</w:t>
      </w:r>
      <w:proofErr w:type="spellEnd"/>
      <w:r w:rsidRPr="00484DB6">
        <w:rPr>
          <w:rFonts w:cs="Arial"/>
          <w:sz w:val="20"/>
        </w:rPr>
        <w:t>, spalle, piattabande, ecc., nonché eventuali intelaiature in legno che la Direzione dei lavori ritenesse opportuno di ordinare allo scopo di fissare i serramenti al telaio anziché alla parete.</w:t>
      </w:r>
    </w:p>
    <w:p w:rsidR="00F252A3" w:rsidRPr="00484DB6" w:rsidRDefault="00F252A3" w:rsidP="00F252A3">
      <w:pPr>
        <w:widowControl/>
        <w:ind w:firstLine="284"/>
        <w:rPr>
          <w:rFonts w:cs="Arial"/>
          <w:sz w:val="20"/>
        </w:rPr>
      </w:pPr>
    </w:p>
    <w:p w:rsidR="00F252A3" w:rsidRPr="00484DB6" w:rsidRDefault="00F252A3" w:rsidP="00F252A3">
      <w:pPr>
        <w:rPr>
          <w:rFonts w:cs="Arial"/>
          <w:sz w:val="20"/>
        </w:rPr>
      </w:pPr>
      <w:bookmarkStart w:id="4" w:name="598"/>
      <w:bookmarkEnd w:id="4"/>
      <w:r w:rsidRPr="00484DB6">
        <w:rPr>
          <w:rFonts w:cs="Arial"/>
          <w:b/>
          <w:sz w:val="20"/>
        </w:rPr>
        <w:t>1.1.3) Casseforme</w:t>
      </w:r>
    </w:p>
    <w:p w:rsidR="00F252A3" w:rsidRPr="00484DB6" w:rsidRDefault="00F252A3" w:rsidP="00F252A3">
      <w:pPr>
        <w:ind w:firstLine="213"/>
        <w:rPr>
          <w:rFonts w:cs="Arial"/>
          <w:sz w:val="20"/>
        </w:rPr>
      </w:pPr>
      <w:r w:rsidRPr="00484DB6">
        <w:rPr>
          <w:rFonts w:cs="Arial"/>
          <w:sz w:val="20"/>
        </w:rPr>
        <w:t>Tutte le casseforme non comprese nei prezzi del conglomerato cementizio dovranno essere contabilizzate secondo le superfici delle facce interne a contatto con il conglomerato cementizio.</w:t>
      </w:r>
    </w:p>
    <w:p w:rsidR="00F252A3" w:rsidRPr="00484DB6" w:rsidRDefault="00F252A3" w:rsidP="00F252A3">
      <w:pPr>
        <w:ind w:firstLine="213"/>
        <w:rPr>
          <w:rFonts w:cs="Arial"/>
          <w:sz w:val="20"/>
        </w:rPr>
      </w:pPr>
    </w:p>
    <w:p w:rsidR="00F252A3" w:rsidRPr="00484DB6" w:rsidRDefault="00F252A3" w:rsidP="00F252A3">
      <w:pPr>
        <w:rPr>
          <w:rFonts w:cs="Arial"/>
          <w:sz w:val="20"/>
        </w:rPr>
      </w:pPr>
      <w:bookmarkStart w:id="5" w:name="599"/>
      <w:bookmarkEnd w:id="5"/>
      <w:r w:rsidRPr="00484DB6">
        <w:rPr>
          <w:rFonts w:cs="Arial"/>
          <w:b/>
          <w:sz w:val="20"/>
        </w:rPr>
        <w:t>1.1.4) Calcestruzzi</w:t>
      </w:r>
    </w:p>
    <w:p w:rsidR="00F252A3" w:rsidRPr="00484DB6" w:rsidRDefault="00F252A3" w:rsidP="00F252A3">
      <w:pPr>
        <w:ind w:firstLine="284"/>
        <w:rPr>
          <w:rFonts w:cs="Arial"/>
          <w:sz w:val="20"/>
        </w:rPr>
      </w:pPr>
      <w:r w:rsidRPr="00484DB6">
        <w:rPr>
          <w:rFonts w:cs="Arial"/>
          <w:sz w:val="20"/>
        </w:rPr>
        <w:t>Tutti i calcestruzzi, siano essi per fondazioni o in elevazione, armati o no, vengono misurati a volume con metodi geometrici e secondo la corrispondente categoria, dedotti i vani od i materiali di differente natura in essi compenetranti che devono essere pagati con altri prezzi di elenco.</w:t>
      </w:r>
    </w:p>
    <w:p w:rsidR="00F252A3" w:rsidRPr="00484DB6" w:rsidRDefault="00F252A3" w:rsidP="00F252A3">
      <w:pPr>
        <w:ind w:firstLine="284"/>
        <w:rPr>
          <w:rFonts w:cs="Arial"/>
          <w:sz w:val="20"/>
        </w:rPr>
      </w:pPr>
      <w:r w:rsidRPr="00484DB6">
        <w:rPr>
          <w:rFonts w:cs="Arial"/>
          <w:sz w:val="20"/>
        </w:rPr>
        <w:t xml:space="preserve">In ogni caso non si deducono i vani di volume minore od uguale a mc 0,20 ciascuno, intendendosi con ciò compensato l'eventuale maggiore magistero richiesto. </w:t>
      </w:r>
    </w:p>
    <w:p w:rsidR="00F252A3" w:rsidRPr="00484DB6" w:rsidRDefault="00F252A3" w:rsidP="00F252A3">
      <w:pPr>
        <w:ind w:firstLine="284"/>
        <w:rPr>
          <w:rFonts w:cs="Arial"/>
          <w:sz w:val="20"/>
        </w:rPr>
      </w:pPr>
      <w:r w:rsidRPr="00484DB6">
        <w:rPr>
          <w:rFonts w:cs="Arial"/>
          <w:sz w:val="20"/>
        </w:rPr>
        <w:t>Il massetto di sottofondazione deve essere contabilizzato, in ogni caso, come sporgente dai bordi perimetrali della fondazione di cm 10, anche qualora l'Appaltatore, per propria utilità, al fine di facilitare la posa in opera delle casseforme e relative sbadacchiature, ritenesse di eseguirlo con sporgenza maggiore.</w:t>
      </w:r>
    </w:p>
    <w:p w:rsidR="00F252A3" w:rsidRPr="00484DB6" w:rsidRDefault="00F252A3" w:rsidP="00F252A3">
      <w:pPr>
        <w:ind w:right="1" w:firstLine="283"/>
        <w:rPr>
          <w:rFonts w:cs="Arial"/>
          <w:sz w:val="20"/>
        </w:rPr>
      </w:pPr>
      <w:r w:rsidRPr="00484DB6">
        <w:rPr>
          <w:rFonts w:cs="Arial"/>
          <w:sz w:val="20"/>
        </w:rPr>
        <w:t>Qualora, invece, perché previsto in progetto o perché specificatamente richiesto dalla Direzione Lavori, tale sporgenza fosse superiore, deve essere contabilizzato l'effettivo volume eseguito.</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bookmarkStart w:id="6" w:name="600"/>
      <w:bookmarkEnd w:id="6"/>
      <w:r w:rsidRPr="00484DB6">
        <w:rPr>
          <w:rFonts w:cs="Arial"/>
          <w:b/>
          <w:sz w:val="20"/>
        </w:rPr>
        <w:t>1.1.5) Conglomerato cementizio armato</w:t>
      </w:r>
    </w:p>
    <w:p w:rsidR="00F252A3" w:rsidRPr="00484DB6" w:rsidRDefault="00F252A3" w:rsidP="00F252A3">
      <w:pPr>
        <w:ind w:right="1" w:firstLine="283"/>
        <w:rPr>
          <w:rFonts w:cs="Arial"/>
          <w:sz w:val="20"/>
        </w:rPr>
      </w:pPr>
      <w:r w:rsidRPr="00484DB6">
        <w:rPr>
          <w:rFonts w:cs="Arial"/>
          <w:sz w:val="20"/>
        </w:rPr>
        <w:t>Il conglomerato per opere in cemento armato di qualsiasi natura e spessore sarà valutato per il suo volume effettivo, senza detrazione del volume del ferro che verrà pagato a parte.</w:t>
      </w:r>
    </w:p>
    <w:p w:rsidR="00F252A3" w:rsidRPr="00484DB6" w:rsidRDefault="00F252A3" w:rsidP="00F252A3">
      <w:pPr>
        <w:ind w:right="1" w:firstLine="283"/>
        <w:rPr>
          <w:rFonts w:cs="Arial"/>
          <w:sz w:val="20"/>
        </w:rPr>
      </w:pPr>
      <w:r w:rsidRPr="00484DB6">
        <w:rPr>
          <w:rFonts w:cs="Arial"/>
          <w:sz w:val="20"/>
        </w:rPr>
        <w:t>Quando trattasi di elementi a carattere ornamentale gettati fuori opera, la misurazione verrà effettuata in ragione del minimo parallelepipedo retto a base rettangolare circoscrivibile a ciascun pezzo, e nel relativo prezzo si deve intendere compreso, oltre che il costo dell'armatura metallica, tutti gli oneri specificati nelle norme sui materiali e sui modi di esecuzione, nonché la posa in opera, sempreché non sia pagata a parte.</w:t>
      </w:r>
    </w:p>
    <w:p w:rsidR="00F252A3" w:rsidRPr="00484DB6" w:rsidRDefault="00F252A3" w:rsidP="00F252A3">
      <w:pPr>
        <w:ind w:right="1" w:firstLine="283"/>
        <w:rPr>
          <w:rFonts w:cs="Arial"/>
          <w:sz w:val="20"/>
        </w:rPr>
      </w:pPr>
      <w:r w:rsidRPr="00484DB6">
        <w:rPr>
          <w:rFonts w:cs="Arial"/>
          <w:sz w:val="20"/>
        </w:rPr>
        <w:t>I casseri, le casseforme e le relative armature di sostegno, se non comprese nei prezzi di elenco del conglomerato cementizio, saranno computati separatamente con i relativi prezzi di elenco. Pertanto, per il compenso di tali opere, bisognerà attenersi a quanto previsto nell'Elenco dei Prezzi Unitari.</w:t>
      </w:r>
    </w:p>
    <w:p w:rsidR="00F252A3" w:rsidRPr="00484DB6" w:rsidRDefault="00F252A3" w:rsidP="00F252A3">
      <w:pPr>
        <w:ind w:right="1" w:firstLine="283"/>
        <w:rPr>
          <w:rFonts w:cs="Arial"/>
          <w:sz w:val="20"/>
        </w:rPr>
      </w:pPr>
      <w:r w:rsidRPr="00484DB6">
        <w:rPr>
          <w:rFonts w:cs="Arial"/>
          <w:sz w:val="20"/>
        </w:rPr>
        <w:lastRenderedPageBreak/>
        <w:t>Nei prezzi del conglomerato sono inoltre compresi tutti gli oneri derivanti dalla formazione di palchi provvisori di servizio, dall'innalzamento dei materiali, qualunque sia l'altezza alla quale l'opera di cemento armato dovrà essere eseguita, nonché per il getto e la vibratura.</w:t>
      </w:r>
    </w:p>
    <w:p w:rsidR="00F252A3" w:rsidRPr="00484DB6" w:rsidRDefault="00F252A3" w:rsidP="00F252A3">
      <w:pPr>
        <w:ind w:right="1" w:firstLine="283"/>
        <w:rPr>
          <w:rFonts w:cs="Arial"/>
          <w:sz w:val="20"/>
        </w:rPr>
      </w:pPr>
      <w:r w:rsidRPr="00484DB6">
        <w:rPr>
          <w:rFonts w:cs="Arial"/>
          <w:sz w:val="20"/>
        </w:rPr>
        <w:t>L'acciaio in barre per armature di opere di cemento armato di qualsiasi tipo nonché la rete elettrosaldata sarà valutato secondo il peso effettivo; nel prezzo oltre alla lavorazione e lo sfrido è compreso l'onere della legatura dei singoli elementi e la posa in opera dell'armatura stessa.</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bookmarkStart w:id="7" w:name="601"/>
      <w:bookmarkEnd w:id="7"/>
      <w:r w:rsidRPr="00484DB6">
        <w:rPr>
          <w:rFonts w:cs="Arial"/>
          <w:b/>
          <w:sz w:val="20"/>
        </w:rPr>
        <w:t>1.1.6) Solai</w:t>
      </w:r>
    </w:p>
    <w:p w:rsidR="00F252A3" w:rsidRPr="00484DB6" w:rsidRDefault="00F252A3" w:rsidP="00F252A3">
      <w:pPr>
        <w:ind w:right="1" w:firstLine="283"/>
        <w:rPr>
          <w:rFonts w:cs="Arial"/>
          <w:sz w:val="20"/>
        </w:rPr>
      </w:pPr>
      <w:r w:rsidRPr="00484DB6">
        <w:rPr>
          <w:rFonts w:cs="Arial"/>
          <w:sz w:val="20"/>
        </w:rPr>
        <w:t>I solai interamente di cemento armato (senza laterizi) saranno valutati al metro cubo come ogni altra opera di cemento armato.</w:t>
      </w:r>
    </w:p>
    <w:p w:rsidR="00F252A3" w:rsidRPr="00484DB6" w:rsidRDefault="00F252A3" w:rsidP="00F252A3">
      <w:pPr>
        <w:ind w:right="1" w:firstLine="283"/>
        <w:rPr>
          <w:rFonts w:cs="Arial"/>
          <w:sz w:val="20"/>
        </w:rPr>
      </w:pPr>
      <w:r w:rsidRPr="00484DB6">
        <w:rPr>
          <w:rFonts w:cs="Arial"/>
          <w:sz w:val="20"/>
        </w:rPr>
        <w:t>Ogni altro tipo di solaio, qualunque sia la forma, sarà invece pagata al metro quadrato di superficie netta misurato all'interno dei cordoli e delle travi di calcestruzzo, esclusi, quindi, la presa e l'appoggio su cordoli perimetrali o travi di calcestruzzo o su eventuali murature portanti.</w:t>
      </w:r>
    </w:p>
    <w:p w:rsidR="00F252A3" w:rsidRPr="00484DB6" w:rsidRDefault="00F252A3" w:rsidP="00F252A3">
      <w:pPr>
        <w:ind w:right="1" w:firstLine="283"/>
        <w:rPr>
          <w:rFonts w:cs="Arial"/>
          <w:sz w:val="20"/>
        </w:rPr>
      </w:pPr>
      <w:r w:rsidRPr="00484DB6">
        <w:rPr>
          <w:rFonts w:cs="Arial"/>
          <w:sz w:val="20"/>
        </w:rPr>
        <w:t xml:space="preserve">Nei prezzi dei solai in genere è compreso l'onere per lo spianamento superiore della caldana, nonché ogni opera e materiale occorrente per dare il solaio completamente finito, come prescritto nelle norme sui materiali e sui modi di esecuzione. Nel prezzo dei solai, di tipo prefabbricato, misti di cemento armato, anche </w:t>
      </w:r>
      <w:proofErr w:type="spellStart"/>
      <w:r w:rsidRPr="00484DB6">
        <w:rPr>
          <w:rFonts w:cs="Arial"/>
          <w:sz w:val="20"/>
        </w:rPr>
        <w:t>predalles</w:t>
      </w:r>
      <w:proofErr w:type="spellEnd"/>
      <w:r w:rsidRPr="00484DB6">
        <w:rPr>
          <w:rFonts w:cs="Arial"/>
          <w:sz w:val="20"/>
        </w:rPr>
        <w:t xml:space="preserve"> o di cemento armato precompresso e laterizi sono escluse la fornitura, lavorazione e posa in opera del ferro occorrente, è invece compreso il noleggio delle casseforme e delle impalcature di sostegno di qualsiasi entità, con tutti gli oneri specificati per le casseforme dei cementi armati.</w:t>
      </w:r>
    </w:p>
    <w:p w:rsidR="00F252A3" w:rsidRPr="00484DB6" w:rsidRDefault="00F252A3" w:rsidP="00F252A3">
      <w:pPr>
        <w:ind w:right="1" w:firstLine="283"/>
        <w:rPr>
          <w:rFonts w:cs="Arial"/>
          <w:sz w:val="20"/>
        </w:rPr>
      </w:pPr>
      <w:r w:rsidRPr="00484DB6">
        <w:rPr>
          <w:rFonts w:cs="Arial"/>
          <w:sz w:val="20"/>
        </w:rPr>
        <w:t>Il prezzo a metro quadrato dei solai suddetti si applicherà senza alcuna maggiorazione anche a quelle porzioni in cui, per resistere a momenti negativi, il laterizio sia sostituito da calcestruzzo; saranno però pagati a parte tutti i cordoli perimetrali relativi ai solai stessi.</w:t>
      </w:r>
    </w:p>
    <w:p w:rsidR="00F252A3" w:rsidRPr="00484DB6" w:rsidRDefault="00F252A3" w:rsidP="00F252A3">
      <w:pPr>
        <w:ind w:firstLine="284"/>
        <w:rPr>
          <w:rFonts w:cs="Arial"/>
          <w:sz w:val="20"/>
        </w:rPr>
      </w:pPr>
      <w:r w:rsidRPr="00484DB6">
        <w:rPr>
          <w:rFonts w:cs="Arial"/>
          <w:sz w:val="20"/>
        </w:rPr>
        <w:t>Nel prezzo dei solai con putrelle di ferro e voltine od elementi laterizi, è compreso l'onere per ogni armatura provvisoria per il rinfianco, nonché per ogni opera e materiale occorrente per dare il solaio completamente finito e pronto per la pavimentazione e per l'intonaco, restando solamente escluse le travi di ferro che verranno pagate a parte.</w:t>
      </w:r>
    </w:p>
    <w:p w:rsidR="00F252A3" w:rsidRPr="00484DB6" w:rsidRDefault="00F252A3" w:rsidP="00F252A3">
      <w:pPr>
        <w:ind w:firstLine="284"/>
        <w:rPr>
          <w:rFonts w:cs="Arial"/>
          <w:sz w:val="20"/>
        </w:rPr>
      </w:pPr>
      <w:r w:rsidRPr="00484DB6">
        <w:rPr>
          <w:rFonts w:cs="Arial"/>
          <w:sz w:val="20"/>
        </w:rPr>
        <w:t>Per ogni tipo di solaio si effettuerà la misurazione vuoto per pieno con deduzione delle aperture di luce superiore ad 1,0 m2.</w:t>
      </w:r>
    </w:p>
    <w:p w:rsidR="00F252A3" w:rsidRPr="00484DB6" w:rsidRDefault="00F252A3" w:rsidP="00F252A3">
      <w:pPr>
        <w:ind w:right="1" w:firstLine="283"/>
        <w:rPr>
          <w:rFonts w:cs="Arial"/>
          <w:sz w:val="20"/>
        </w:rPr>
      </w:pPr>
      <w:r w:rsidRPr="00484DB6">
        <w:rPr>
          <w:rFonts w:cs="Arial"/>
          <w:sz w:val="20"/>
        </w:rPr>
        <w:t>Le suindicate norme di misurazione sono da intendersi estese anche alle strutture inclinate che verranno misurate per la loro effettiva superficie in sviluppo.</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bookmarkStart w:id="8" w:name="614"/>
      <w:bookmarkEnd w:id="8"/>
      <w:r w:rsidRPr="00484DB6">
        <w:rPr>
          <w:rFonts w:cs="Arial"/>
          <w:b/>
          <w:sz w:val="20"/>
        </w:rPr>
        <w:t>1.1.7) Lavori di metallo</w:t>
      </w:r>
    </w:p>
    <w:p w:rsidR="00F252A3" w:rsidRPr="00484DB6" w:rsidRDefault="00F252A3" w:rsidP="00F252A3">
      <w:pPr>
        <w:ind w:right="1" w:firstLine="283"/>
        <w:rPr>
          <w:rFonts w:cs="Arial"/>
          <w:sz w:val="20"/>
        </w:rPr>
      </w:pPr>
      <w:r w:rsidRPr="00484DB6">
        <w:rPr>
          <w:rFonts w:cs="Arial"/>
          <w:sz w:val="20"/>
        </w:rPr>
        <w:t>Tutti i lavori di metallo saranno in generale valutati a peso ed i relativi prezzi verranno applicati al peso effettivo dei metalli stessi a lavorazione completamente ultimata e determinato prima della loro posa in opera, con pesatura diretta fatta in contraddittorio ed a spese dell'Appaltatore, escluse ben inteso dal peso le verniciature e coloriture.</w:t>
      </w:r>
    </w:p>
    <w:p w:rsidR="00F252A3" w:rsidRPr="00484DB6" w:rsidRDefault="00F252A3" w:rsidP="00F252A3">
      <w:pPr>
        <w:ind w:right="1" w:firstLine="283"/>
        <w:rPr>
          <w:rFonts w:cs="Arial"/>
          <w:sz w:val="20"/>
        </w:rPr>
      </w:pPr>
      <w:r w:rsidRPr="00484DB6">
        <w:rPr>
          <w:rFonts w:cs="Arial"/>
          <w:sz w:val="20"/>
        </w:rPr>
        <w:t>Nei prezzi dei lavori in metallo è compreso ogni e qualunque compenso per forniture accessorie, per lavorazioni, montatura e posizione in opera.</w:t>
      </w:r>
    </w:p>
    <w:p w:rsidR="00F252A3" w:rsidRPr="00484DB6" w:rsidRDefault="00F252A3" w:rsidP="00F252A3">
      <w:pPr>
        <w:ind w:right="1" w:firstLine="283"/>
        <w:rPr>
          <w:rFonts w:cs="Arial"/>
          <w:sz w:val="20"/>
        </w:rPr>
      </w:pPr>
    </w:p>
    <w:p w:rsidR="00F252A3" w:rsidRPr="00484DB6" w:rsidRDefault="00F252A3" w:rsidP="00F252A3">
      <w:pPr>
        <w:jc w:val="center"/>
        <w:rPr>
          <w:rFonts w:cs="Arial"/>
          <w:b/>
          <w:sz w:val="20"/>
        </w:rPr>
      </w:pPr>
      <w:bookmarkStart w:id="9" w:name="624"/>
      <w:bookmarkEnd w:id="9"/>
      <w:r w:rsidRPr="00484DB6">
        <w:rPr>
          <w:rFonts w:cs="Arial"/>
          <w:b/>
          <w:sz w:val="20"/>
        </w:rPr>
        <w:t xml:space="preserve">Art. 1.2 </w:t>
      </w:r>
    </w:p>
    <w:p w:rsidR="00F252A3" w:rsidRPr="00484DB6" w:rsidRDefault="00F252A3" w:rsidP="00F252A3">
      <w:pPr>
        <w:jc w:val="center"/>
        <w:rPr>
          <w:rFonts w:cs="Arial"/>
          <w:b/>
          <w:sz w:val="20"/>
        </w:rPr>
      </w:pPr>
      <w:r w:rsidRPr="00484DB6">
        <w:rPr>
          <w:rFonts w:cs="Arial"/>
          <w:b/>
          <w:sz w:val="20"/>
        </w:rPr>
        <w:t>MATERIALI A PIÈ D'OPERA</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Per determinati manufatti il cui valore è superiore alla spesa per la messa in opera, il prezzo a piè dʹopera ed il suo accreditamento in contabilità prima della messa in opera è stabilito in misura non superiore alla metà del prezzo stesso da valutarsi a prezzo di contratto o, in difetto, al prezzo di progetto.</w:t>
      </w:r>
    </w:p>
    <w:p w:rsidR="00F252A3" w:rsidRPr="00484DB6" w:rsidRDefault="00F252A3" w:rsidP="00F252A3">
      <w:pPr>
        <w:ind w:firstLine="284"/>
        <w:rPr>
          <w:rFonts w:cs="Arial"/>
          <w:sz w:val="20"/>
        </w:rPr>
      </w:pPr>
      <w:r w:rsidRPr="00484DB6">
        <w:rPr>
          <w:rFonts w:cs="Arial"/>
          <w:sz w:val="20"/>
        </w:rPr>
        <w:t xml:space="preserve">I prezzi per i materiali a piè d'opera si determineranno nei seguenti casi: </w:t>
      </w:r>
    </w:p>
    <w:p w:rsidR="00F252A3" w:rsidRPr="00484DB6" w:rsidRDefault="00F252A3" w:rsidP="00F252A3">
      <w:pPr>
        <w:ind w:left="850" w:hanging="284"/>
        <w:rPr>
          <w:rFonts w:cs="Arial"/>
          <w:sz w:val="20"/>
        </w:rPr>
      </w:pPr>
      <w:r w:rsidRPr="00484DB6">
        <w:rPr>
          <w:rFonts w:cs="Arial"/>
          <w:sz w:val="20"/>
        </w:rPr>
        <w:t>a)</w:t>
      </w:r>
      <w:r w:rsidRPr="00484DB6">
        <w:rPr>
          <w:rFonts w:cs="Arial"/>
          <w:sz w:val="20"/>
        </w:rPr>
        <w:tab/>
        <w:t xml:space="preserve">alle provviste dei materiali a piè d'opera che l'Appaltatore è tenuto a fare a richiesta della Direzione dei Lavori, comprese le somministrazioni per lavori in economia, alla cui esecuzione provvede direttamente la Stazione Appaltante; </w:t>
      </w:r>
    </w:p>
    <w:p w:rsidR="00F252A3" w:rsidRPr="00484DB6" w:rsidRDefault="00F252A3" w:rsidP="00F252A3">
      <w:pPr>
        <w:ind w:left="850" w:hanging="284"/>
        <w:rPr>
          <w:rFonts w:cs="Arial"/>
          <w:sz w:val="20"/>
        </w:rPr>
      </w:pPr>
      <w:r w:rsidRPr="00484DB6">
        <w:rPr>
          <w:rFonts w:cs="Arial"/>
          <w:sz w:val="20"/>
        </w:rPr>
        <w:t>b)</w:t>
      </w:r>
      <w:r w:rsidRPr="00484DB6">
        <w:rPr>
          <w:rFonts w:cs="Arial"/>
          <w:sz w:val="20"/>
        </w:rPr>
        <w:tab/>
        <w:t xml:space="preserve">alla valutazione dei materiali accettabili nel caso di esecuzione di ufficio e nel caso di rescissione coattiva oppure di scioglimento di contratto; </w:t>
      </w:r>
    </w:p>
    <w:p w:rsidR="00F252A3" w:rsidRPr="00484DB6" w:rsidRDefault="00F252A3" w:rsidP="00F252A3">
      <w:pPr>
        <w:ind w:left="850" w:hanging="284"/>
        <w:rPr>
          <w:rFonts w:cs="Arial"/>
          <w:sz w:val="20"/>
        </w:rPr>
      </w:pPr>
      <w:r w:rsidRPr="00484DB6">
        <w:rPr>
          <w:rFonts w:cs="Arial"/>
          <w:sz w:val="20"/>
        </w:rPr>
        <w:t>c)</w:t>
      </w:r>
      <w:r w:rsidRPr="00484DB6">
        <w:rPr>
          <w:rFonts w:cs="Arial"/>
          <w:sz w:val="20"/>
        </w:rPr>
        <w:tab/>
        <w:t xml:space="preserve">alla valutazione del materiale per l'accreditamento del loro importo nei pagamenti in acconto; </w:t>
      </w:r>
    </w:p>
    <w:p w:rsidR="00F252A3" w:rsidRPr="00484DB6" w:rsidRDefault="00F252A3" w:rsidP="00F252A3">
      <w:pPr>
        <w:ind w:left="850" w:hanging="284"/>
        <w:rPr>
          <w:rFonts w:cs="Arial"/>
          <w:sz w:val="20"/>
        </w:rPr>
      </w:pPr>
      <w:r w:rsidRPr="00484DB6">
        <w:rPr>
          <w:rFonts w:cs="Arial"/>
          <w:sz w:val="20"/>
        </w:rPr>
        <w:t>d)</w:t>
      </w:r>
      <w:r w:rsidRPr="00484DB6">
        <w:rPr>
          <w:rFonts w:cs="Arial"/>
          <w:sz w:val="20"/>
        </w:rPr>
        <w:tab/>
        <w:t xml:space="preserve">alla valutazione delle provviste a piè d'opera che si dovessero rilevare dalla Stazione Appaltante quando per variazioni da essa introdotte non potessero più trovare impiego nei lavori. </w:t>
      </w:r>
    </w:p>
    <w:p w:rsidR="00F252A3" w:rsidRPr="00484DB6" w:rsidRDefault="00F252A3" w:rsidP="00F252A3">
      <w:pPr>
        <w:ind w:firstLine="284"/>
        <w:rPr>
          <w:rFonts w:cs="Arial"/>
          <w:sz w:val="20"/>
        </w:rPr>
      </w:pPr>
      <w:r w:rsidRPr="00484DB6">
        <w:rPr>
          <w:rFonts w:cs="Arial"/>
          <w:sz w:val="20"/>
        </w:rPr>
        <w:t xml:space="preserve">In detti prezzi dei materiali è compresa ogni spesa accessoria per dare i materiali a piè d'opera sul luogo di impiego, le spese generali ed il beneficio dell'Appaltatore. </w:t>
      </w:r>
    </w:p>
    <w:p w:rsidR="00F252A3" w:rsidRPr="00484DB6" w:rsidRDefault="00F252A3" w:rsidP="00F252A3">
      <w:pPr>
        <w:jc w:val="center"/>
        <w:rPr>
          <w:rFonts w:cs="Arial"/>
          <w:b/>
        </w:rPr>
      </w:pPr>
      <w:r w:rsidRPr="00484DB6">
        <w:rPr>
          <w:rFonts w:cs="Arial"/>
        </w:rPr>
        <w:br w:type="page"/>
      </w:r>
      <w:bookmarkStart w:id="10" w:name="625"/>
      <w:bookmarkEnd w:id="10"/>
      <w:r w:rsidRPr="00484DB6">
        <w:rPr>
          <w:rFonts w:cs="Arial"/>
          <w:b/>
          <w:sz w:val="32"/>
        </w:rPr>
        <w:lastRenderedPageBreak/>
        <w:t>CAPITOLO 2</w:t>
      </w:r>
    </w:p>
    <w:p w:rsidR="00F252A3" w:rsidRPr="00484DB6" w:rsidRDefault="00F252A3" w:rsidP="00F252A3">
      <w:pPr>
        <w:jc w:val="center"/>
        <w:rPr>
          <w:rFonts w:cs="Arial"/>
          <w:b/>
        </w:rPr>
      </w:pPr>
    </w:p>
    <w:p w:rsidR="00F252A3" w:rsidRPr="00484DB6" w:rsidRDefault="00F252A3" w:rsidP="00F252A3">
      <w:pPr>
        <w:jc w:val="center"/>
        <w:rPr>
          <w:rFonts w:cs="Arial"/>
          <w:b/>
        </w:rPr>
      </w:pPr>
    </w:p>
    <w:p w:rsidR="00F252A3" w:rsidRPr="00484DB6" w:rsidRDefault="00F252A3" w:rsidP="00F252A3">
      <w:pPr>
        <w:jc w:val="center"/>
        <w:rPr>
          <w:rFonts w:cs="Arial"/>
          <w:b/>
        </w:rPr>
      </w:pPr>
      <w:r w:rsidRPr="00484DB6">
        <w:rPr>
          <w:rFonts w:cs="Arial"/>
          <w:b/>
        </w:rPr>
        <w:t>QUALITA' DEI MATERIALI E DEI COMPONENTI</w:t>
      </w:r>
    </w:p>
    <w:p w:rsidR="00F252A3" w:rsidRPr="00484DB6" w:rsidRDefault="00F252A3" w:rsidP="00F252A3">
      <w:pPr>
        <w:jc w:val="center"/>
        <w:rPr>
          <w:rFonts w:cs="Arial"/>
          <w:b/>
        </w:rPr>
      </w:pPr>
    </w:p>
    <w:p w:rsidR="00F252A3" w:rsidRPr="00484DB6" w:rsidRDefault="00F252A3" w:rsidP="00F252A3">
      <w:pPr>
        <w:jc w:val="center"/>
        <w:rPr>
          <w:rFonts w:cs="Arial"/>
          <w:b/>
          <w:sz w:val="20"/>
        </w:rPr>
      </w:pPr>
      <w:r w:rsidRPr="00484DB6">
        <w:rPr>
          <w:rFonts w:cs="Arial"/>
          <w:b/>
          <w:sz w:val="20"/>
        </w:rPr>
        <w:t>Art. 2.1</w:t>
      </w:r>
    </w:p>
    <w:p w:rsidR="00F252A3" w:rsidRPr="00484DB6" w:rsidRDefault="00F252A3" w:rsidP="00F252A3">
      <w:pPr>
        <w:jc w:val="center"/>
        <w:rPr>
          <w:rFonts w:cs="Arial"/>
          <w:b/>
          <w:sz w:val="20"/>
        </w:rPr>
      </w:pPr>
      <w:r w:rsidRPr="00484DB6">
        <w:rPr>
          <w:rFonts w:cs="Arial"/>
          <w:b/>
          <w:sz w:val="20"/>
        </w:rPr>
        <w:t>NORME GENERALI - IMPIEGO ED ACCETTAZIONE DEI MATERIALI</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 xml:space="preserve">Quale regola generale si intende che i materiali, i prodotti ed i componenti occorrenti per la costruzione delle opere, proverranno da ditte fornitrici o da cave e località che l'Appaltatore riterrà di sua convenienza, purché, ad insindacabile giudizio della Direzione dei Lavori, rispondano alle caratteristiche/prestazioni di cui ai seguenti articoli. </w:t>
      </w:r>
    </w:p>
    <w:p w:rsidR="00F252A3" w:rsidRPr="00484DB6" w:rsidRDefault="00F252A3" w:rsidP="00F252A3">
      <w:pPr>
        <w:ind w:firstLine="284"/>
        <w:rPr>
          <w:rFonts w:cs="Arial"/>
          <w:sz w:val="20"/>
        </w:rPr>
      </w:pPr>
      <w:r w:rsidRPr="00484DB6">
        <w:rPr>
          <w:rFonts w:cs="Arial"/>
          <w:sz w:val="20"/>
        </w:rPr>
        <w:t>I materiali e i componenti devono corrispondere alle prescrizioni di legge e del presente Capitolato Speciale; essi dovranno essere della migliore qualità e perfettamente lavorati, e possono essere messi in opera solamente dopo l'accettazione della Direzione dei Lavori.</w:t>
      </w:r>
    </w:p>
    <w:p w:rsidR="00F252A3" w:rsidRPr="00484DB6" w:rsidRDefault="00F252A3" w:rsidP="00F252A3">
      <w:pPr>
        <w:ind w:firstLine="284"/>
        <w:rPr>
          <w:rFonts w:cs="Arial"/>
          <w:sz w:val="20"/>
        </w:rPr>
      </w:pPr>
      <w:r w:rsidRPr="00484DB6">
        <w:rPr>
          <w:rFonts w:cs="Arial"/>
          <w:sz w:val="20"/>
        </w:rPr>
        <w:t>Resta sempre all'Impresa la piena responsabilità circa i materiali adoperati o forniti durante l’esecuzione dei lavori, essendo essa tenuta a controllare che tutti i materiali corrispondano alle caratteristiche prescritte e a quelle dei campioni esaminati, o fatti esaminare, dalla Direzione dei Lavori.</w:t>
      </w:r>
    </w:p>
    <w:p w:rsidR="00F252A3" w:rsidRPr="00484DB6" w:rsidRDefault="00F252A3" w:rsidP="00F252A3">
      <w:pPr>
        <w:ind w:firstLine="284"/>
        <w:rPr>
          <w:rFonts w:cs="Arial"/>
          <w:sz w:val="20"/>
        </w:rPr>
      </w:pPr>
      <w:r w:rsidRPr="00484DB6">
        <w:rPr>
          <w:rFonts w:cs="Arial"/>
          <w:sz w:val="20"/>
        </w:rPr>
        <w:t>I materiali dovranno trovarsi, al momento dell'uso in perfetto stato di conservazione.</w:t>
      </w:r>
    </w:p>
    <w:p w:rsidR="00F252A3" w:rsidRPr="00484DB6" w:rsidRDefault="00F252A3" w:rsidP="00F252A3">
      <w:pPr>
        <w:ind w:firstLine="284"/>
        <w:rPr>
          <w:rFonts w:cs="Arial"/>
          <w:sz w:val="20"/>
        </w:rPr>
      </w:pPr>
      <w:r w:rsidRPr="00484DB6">
        <w:rPr>
          <w:rFonts w:cs="Arial"/>
          <w:sz w:val="20"/>
        </w:rPr>
        <w:t>Anche dopo l'accettazione e la posa in opera dei materiali e dei componenti da parte dell'Appaltatore, restano fermi i diritti e i poteri della Stazione Appaltante in sede di collaudo.</w:t>
      </w:r>
    </w:p>
    <w:p w:rsidR="00F252A3" w:rsidRPr="00484DB6" w:rsidRDefault="00F252A3" w:rsidP="00F252A3">
      <w:pPr>
        <w:ind w:firstLine="284"/>
        <w:rPr>
          <w:rFonts w:cs="Arial"/>
          <w:sz w:val="20"/>
        </w:rPr>
      </w:pPr>
      <w:r w:rsidRPr="00484DB6">
        <w:rPr>
          <w:rFonts w:cs="Arial"/>
          <w:sz w:val="20"/>
        </w:rPr>
        <w:t>L'esecutore che, di sua iniziativa, abbia impiegato materiali o componenti di caratteristiche superiori a quelle prescritte nei documenti contrattuali, o eseguito una lavorazione più accurata, non ha diritto ad aumento dei prezzi e la contabilità è redatta come se i materiali avessero le caratteristiche stabilite.</w:t>
      </w:r>
    </w:p>
    <w:p w:rsidR="00F252A3" w:rsidRPr="00484DB6" w:rsidRDefault="00F252A3" w:rsidP="00F252A3">
      <w:pPr>
        <w:ind w:firstLine="284"/>
        <w:rPr>
          <w:rFonts w:cs="Arial"/>
          <w:sz w:val="20"/>
        </w:rPr>
      </w:pPr>
      <w:r w:rsidRPr="00484DB6">
        <w:rPr>
          <w:rFonts w:cs="Arial"/>
          <w:sz w:val="20"/>
        </w:rPr>
        <w:t>Gli accertamenti di laboratorio e le verifiche tecniche obbligatorie, ovvero specificamente previsti dal capitolato speciale d'appalto, sono disposti dalla Direzione dei Lavori o dall'organo di collaudo, imputando la spesa a carico delle somme a disposizione accantonate a tale titolo nel quadro economico. Per le stesse prove la Direzione dei Lavori provvede al prelievo del relativo campione ed alla redazione di apposito verbale di prelievo; la certificazione effettuata dal laboratorio prove materiali riporta espresso riferimento a tale verbale.</w:t>
      </w:r>
    </w:p>
    <w:p w:rsidR="00F252A3" w:rsidRPr="00484DB6" w:rsidRDefault="00F252A3" w:rsidP="00F252A3">
      <w:pPr>
        <w:ind w:firstLine="284"/>
        <w:rPr>
          <w:rFonts w:cs="Arial"/>
          <w:sz w:val="20"/>
        </w:rPr>
      </w:pPr>
      <w:r w:rsidRPr="00484DB6">
        <w:rPr>
          <w:rFonts w:cs="Arial"/>
          <w:sz w:val="20"/>
        </w:rPr>
        <w:t>La Direzione dei Lavori o l'organo di collaudo possono disporre ulteriori prove ed analisi ancorché non prescritte nel presente Capitolato ma ritenute necessarie per stabilire l'idoneità dei materiali o dei componenti. Le relative spese sono poste a carico dell'Appaltatore.</w:t>
      </w:r>
    </w:p>
    <w:p w:rsidR="00F252A3" w:rsidRPr="00484DB6" w:rsidRDefault="00F252A3" w:rsidP="00F252A3">
      <w:pPr>
        <w:ind w:firstLine="284"/>
        <w:rPr>
          <w:rFonts w:cs="Arial"/>
          <w:sz w:val="20"/>
        </w:rPr>
      </w:pPr>
      <w:r w:rsidRPr="00484DB6">
        <w:rPr>
          <w:rFonts w:cs="Arial"/>
          <w:sz w:val="20"/>
        </w:rPr>
        <w:t xml:space="preserve">Per quanto non espresso nel presente Capitolato Speciale, relativamente all'accettazione, qualità e impiego dei materiali, alla loro provvista, il luogo della loro provenienza e l'eventuale sostituzione di quest'ultimo, si applicano le disposizioni dell'art. 101 comma 3 del d.lgs. n. 50/2016 e </w:t>
      </w:r>
      <w:proofErr w:type="spellStart"/>
      <w:r w:rsidRPr="00484DB6">
        <w:rPr>
          <w:rFonts w:cs="Arial"/>
          <w:sz w:val="20"/>
        </w:rPr>
        <w:t>s.m.i.</w:t>
      </w:r>
      <w:proofErr w:type="spellEnd"/>
      <w:r w:rsidRPr="00484DB6">
        <w:rPr>
          <w:rFonts w:cs="Arial"/>
          <w:sz w:val="20"/>
        </w:rPr>
        <w:t xml:space="preserve"> e gli articoli 16, 17, 18 e 19 del Capitolato Generale d'Appalto D.M. 145/2000 e </w:t>
      </w:r>
      <w:proofErr w:type="spellStart"/>
      <w:r w:rsidRPr="00484DB6">
        <w:rPr>
          <w:rFonts w:cs="Arial"/>
          <w:sz w:val="20"/>
        </w:rPr>
        <w:t>s.m.i.</w:t>
      </w:r>
      <w:proofErr w:type="spellEnd"/>
    </w:p>
    <w:p w:rsidR="00F252A3" w:rsidRPr="00484DB6" w:rsidRDefault="00F252A3" w:rsidP="00F252A3">
      <w:pPr>
        <w:ind w:firstLine="284"/>
        <w:rPr>
          <w:rFonts w:cs="Arial"/>
          <w:sz w:val="20"/>
        </w:rPr>
      </w:pPr>
    </w:p>
    <w:p w:rsidR="00F252A3" w:rsidRPr="00484DB6" w:rsidRDefault="00F252A3" w:rsidP="00F252A3">
      <w:pPr>
        <w:jc w:val="center"/>
        <w:rPr>
          <w:rFonts w:cs="Arial"/>
          <w:b/>
          <w:sz w:val="20"/>
        </w:rPr>
      </w:pPr>
      <w:r w:rsidRPr="00484DB6">
        <w:rPr>
          <w:rFonts w:cs="Arial"/>
          <w:b/>
          <w:sz w:val="20"/>
        </w:rPr>
        <w:t>Art. 2.2</w:t>
      </w:r>
    </w:p>
    <w:p w:rsidR="00F252A3" w:rsidRPr="00484DB6" w:rsidRDefault="00F252A3" w:rsidP="00F252A3">
      <w:pPr>
        <w:jc w:val="center"/>
        <w:rPr>
          <w:rFonts w:cs="Arial"/>
          <w:b/>
          <w:sz w:val="20"/>
        </w:rPr>
      </w:pPr>
      <w:r w:rsidRPr="00484DB6">
        <w:rPr>
          <w:rFonts w:cs="Arial"/>
          <w:b/>
          <w:sz w:val="20"/>
        </w:rPr>
        <w:t>ACQUA, CALCI, CEMENTI ED AGGLOMERATI CEMENTIZI, POZZOLANE, GESSO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a) Acqua - L'acqua per l'impasto con leganti idraulici dovrà essere deve essere conforme alla norma UNI EN 1008, limpida, priva di grassi o sostanze organiche e priva di sali (particolarmente solfati e cloruri) in percentuali dannose e non essere aggressiva per il conglomerato risultante.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b) Calci - Le calci aeree ed idrauliche, dovranno rispondere ai requisiti di accettazione delle norme tecniche vigenti; le calci idrauliche dovranno altresì corrispondere alle prescrizioni contenute nella legge 595/65 (Caratteristiche tecniche e requisiti dei leganti idraulici), ai requisiti di accettazione contenuti nelle norme tecniche vigenti, nonché alle norme UNI EN 459-1 e 459-2.</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c) Cementi e agglomerati cementizi.</w:t>
      </w:r>
    </w:p>
    <w:p w:rsidR="00F252A3" w:rsidRPr="00484DB6" w:rsidRDefault="00F252A3" w:rsidP="00F252A3">
      <w:pPr>
        <w:numPr>
          <w:ilvl w:val="1"/>
          <w:numId w:val="2"/>
        </w:numPr>
        <w:autoSpaceDE w:val="0"/>
        <w:autoSpaceDN w:val="0"/>
        <w:adjustRightInd w:val="0"/>
        <w:ind w:left="1065" w:hanging="355"/>
        <w:jc w:val="left"/>
        <w:rPr>
          <w:rFonts w:cs="Arial"/>
          <w:sz w:val="20"/>
        </w:rPr>
      </w:pPr>
      <w:r w:rsidRPr="00484DB6">
        <w:rPr>
          <w:rFonts w:cs="Arial"/>
          <w:sz w:val="20"/>
        </w:rPr>
        <w:t>Devono impiegarsi esclusivamente i cementi previsti dalle disposizioni vigenti in materia (legge 26 maggio 1965 n. 595 e norme armonizzate della serie EN 197), dotati di attestato di conformità ai sensi delle norme UNI EN 197-1 e UNI EN 197-2.</w:t>
      </w:r>
    </w:p>
    <w:p w:rsidR="00F252A3" w:rsidRPr="00484DB6" w:rsidRDefault="00F252A3" w:rsidP="00F252A3">
      <w:pPr>
        <w:numPr>
          <w:ilvl w:val="1"/>
          <w:numId w:val="2"/>
        </w:numPr>
        <w:autoSpaceDE w:val="0"/>
        <w:autoSpaceDN w:val="0"/>
        <w:adjustRightInd w:val="0"/>
        <w:ind w:left="1065" w:hanging="355"/>
        <w:jc w:val="left"/>
        <w:rPr>
          <w:rFonts w:cs="Arial"/>
          <w:sz w:val="20"/>
        </w:rPr>
      </w:pPr>
      <w:r w:rsidRPr="00484DB6">
        <w:rPr>
          <w:rFonts w:cs="Arial"/>
          <w:sz w:val="20"/>
        </w:rPr>
        <w:t xml:space="preserve">A norma di quanto previsto dal Decreto 12 luglio 1999, n. 314 (Regolamento recante norme per il rilascio dell'attestato di conformità per i cementi), i cementi di cui all'art. 1 lettera A) della legge 595/65 (e cioè cementi normali e ad alta resistenza portland, </w:t>
      </w:r>
      <w:r w:rsidRPr="00484DB6">
        <w:rPr>
          <w:rFonts w:cs="Arial"/>
          <w:sz w:val="20"/>
        </w:rPr>
        <w:lastRenderedPageBreak/>
        <w:t xml:space="preserve">pozzolanico e d'altoforno), se utilizzati per confezionare il conglomerato cementizio normale, armato e precompresso, devono essere certificati presso i laboratori di cui all'art. 6 della legge 595/65 e all'art. 59 del d.P.R. 380/2001 e </w:t>
      </w:r>
      <w:proofErr w:type="spellStart"/>
      <w:r w:rsidRPr="00484DB6">
        <w:rPr>
          <w:rFonts w:cs="Arial"/>
          <w:sz w:val="20"/>
        </w:rPr>
        <w:t>s.m.i.</w:t>
      </w:r>
      <w:proofErr w:type="spellEnd"/>
      <w:r w:rsidRPr="00484DB6">
        <w:rPr>
          <w:rFonts w:cs="Arial"/>
          <w:sz w:val="20"/>
        </w:rPr>
        <w:t xml:space="preserve"> Per i cementi di importazione, la procedura di controllo e di certificazione potrà essere svolta nei luoghi di produzione da analoghi laboratori esteri di analisi.</w:t>
      </w:r>
    </w:p>
    <w:p w:rsidR="00F252A3" w:rsidRPr="00484DB6" w:rsidRDefault="00F252A3" w:rsidP="00F252A3">
      <w:pPr>
        <w:numPr>
          <w:ilvl w:val="1"/>
          <w:numId w:val="2"/>
        </w:numPr>
        <w:autoSpaceDE w:val="0"/>
        <w:autoSpaceDN w:val="0"/>
        <w:adjustRightInd w:val="0"/>
        <w:ind w:left="1065" w:hanging="355"/>
        <w:jc w:val="left"/>
        <w:rPr>
          <w:rFonts w:cs="Arial"/>
          <w:sz w:val="20"/>
        </w:rPr>
      </w:pPr>
      <w:r w:rsidRPr="00484DB6">
        <w:rPr>
          <w:rFonts w:cs="Arial"/>
          <w:sz w:val="20"/>
        </w:rPr>
        <w:t>I cementi e gli agglomerati cementizi dovranno essere conservati in magazzini coperti, ben riparati dall'umidità e da altri agenti capaci di degradarli prima dell'impiego.</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d) Pozzolane - Le pozzolane saranno ricavate da strati mondi da cappellaccio ed esenti da sostanze eterogenee o di parti inerti; qualunque sia la provenienza dovranno rispondere a tutti i requisiti prescritti dalle norme tecniche vigenti.</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e) Gesso - Il gesso dovrà essere di recente cottura, perfettamente asciutto, di fine macinazione in modo da non lasciare residui sullo staccio di 56 maglie a centimetro quadrato, scevro da materie eterogenee e senza parti alterate per estinzione spontanea. Il gesso dovrà essere conservato in locali coperti, ben riparati dall'umidità e da agenti degradanti. Per l'accettazione valgono i criteri generali dell'articolo "</w:t>
      </w:r>
      <w:r w:rsidRPr="00484DB6">
        <w:rPr>
          <w:rFonts w:cs="Arial"/>
          <w:i/>
          <w:sz w:val="20"/>
        </w:rPr>
        <w:t>Norme Generali - Accettazione Qualità ed Impiego dei Materiali</w:t>
      </w:r>
      <w:r w:rsidRPr="00484DB6">
        <w:rPr>
          <w:rFonts w:cs="Arial"/>
          <w:sz w:val="20"/>
        </w:rPr>
        <w:t>" e le condizioni di accettazione stabilite dalle norme vigenti.</w:t>
      </w:r>
    </w:p>
    <w:p w:rsidR="00F252A3" w:rsidRPr="00484DB6" w:rsidRDefault="00F252A3" w:rsidP="00F252A3">
      <w:pPr>
        <w:ind w:firstLine="284"/>
        <w:rPr>
          <w:rFonts w:cs="Arial"/>
          <w:sz w:val="20"/>
        </w:rPr>
      </w:pPr>
      <w:r w:rsidRPr="00484DB6">
        <w:rPr>
          <w:rFonts w:cs="Arial"/>
          <w:sz w:val="20"/>
        </w:rPr>
        <w:t xml:space="preserve"> </w:t>
      </w:r>
    </w:p>
    <w:p w:rsidR="00F252A3" w:rsidRPr="00484DB6" w:rsidRDefault="00F252A3" w:rsidP="00F252A3">
      <w:pPr>
        <w:ind w:firstLine="284"/>
        <w:rPr>
          <w:rFonts w:cs="Arial"/>
          <w:sz w:val="20"/>
        </w:rPr>
      </w:pPr>
      <w:r w:rsidRPr="00484DB6">
        <w:rPr>
          <w:rFonts w:cs="Arial"/>
          <w:sz w:val="20"/>
        </w:rPr>
        <w:t>f) Sabbie - Le sabbie dovranno essere assolutamente prive di terra, materie organiche o altre materie nocive, essere di tipo siliceo (o in subordine quarzoso, granitico o calcareo), avere grana omogenea, e provenire da rocce con elevata resistenza alla compressione. Sottoposta alla prova di decantazione in acqua, la perdita in peso della sabbia non dovrà superare il 2%.</w:t>
      </w:r>
    </w:p>
    <w:p w:rsidR="00F252A3" w:rsidRPr="00484DB6" w:rsidRDefault="00F252A3" w:rsidP="00F252A3">
      <w:pPr>
        <w:ind w:firstLine="284"/>
        <w:rPr>
          <w:rFonts w:cs="Arial"/>
          <w:sz w:val="20"/>
        </w:rPr>
      </w:pPr>
      <w:r w:rsidRPr="00484DB6">
        <w:rPr>
          <w:rFonts w:cs="Arial"/>
          <w:sz w:val="20"/>
        </w:rPr>
        <w:t>La sabbia utilizzata per le murature, per gli intonaci, le stuccature, le murature a faccia vista e per i conglomerati cementizi dovrà essere conforme a quanto previsto dal D.M. 17 gennaio 2018 e dalle relative norme vigenti.</w:t>
      </w:r>
    </w:p>
    <w:p w:rsidR="00F252A3" w:rsidRPr="00484DB6" w:rsidRDefault="00F252A3" w:rsidP="00F252A3">
      <w:pPr>
        <w:ind w:firstLine="284"/>
        <w:rPr>
          <w:rFonts w:cs="Arial"/>
          <w:sz w:val="20"/>
        </w:rPr>
      </w:pPr>
      <w:r w:rsidRPr="00484DB6">
        <w:rPr>
          <w:rFonts w:cs="Arial"/>
          <w:sz w:val="20"/>
        </w:rPr>
        <w:t>La granulometria dovrà essere adeguata alla destinazione del getto ed alle condizioni di posa in opera. È assolutamente vietato l'uso di sabbia marina.</w:t>
      </w:r>
    </w:p>
    <w:p w:rsidR="00F252A3" w:rsidRPr="00484DB6" w:rsidRDefault="00F252A3" w:rsidP="00F252A3">
      <w:pPr>
        <w:ind w:firstLine="284"/>
        <w:rPr>
          <w:rFonts w:cs="Arial"/>
          <w:sz w:val="20"/>
        </w:rPr>
      </w:pPr>
      <w:r w:rsidRPr="00484DB6">
        <w:rPr>
          <w:rFonts w:cs="Arial"/>
          <w:sz w:val="20"/>
        </w:rPr>
        <w:t xml:space="preserve">I materiali dovranno trovarsi, al momento dell'uso in perfetto stato di conservazione. Il loro impiego nella preparazione di malte e conglomerati cementizi dovrà avvenire con l'osservanza delle migliori regole d'arte. </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Per quanto non espressamente contemplato, si rinvia alla seguente normativa tecnica: UNI EN 459 - UNI EN 197 - UNI EN ISO 7027-1 - UNI EN 413 - UNI 9156 - UNI 9606.</w:t>
      </w:r>
    </w:p>
    <w:p w:rsidR="00F252A3" w:rsidRPr="00484DB6" w:rsidRDefault="00F252A3" w:rsidP="00F252A3">
      <w:pPr>
        <w:ind w:firstLine="284"/>
        <w:rPr>
          <w:rFonts w:cs="Arial"/>
          <w:sz w:val="20"/>
        </w:rPr>
      </w:pPr>
      <w:r w:rsidRPr="00484DB6">
        <w:rPr>
          <w:rFonts w:cs="Arial"/>
          <w:sz w:val="20"/>
        </w:rPr>
        <w:t>Tutti i prodotti e/o materiali di cui al presente articolo, qualora possano essere dotati di marcatura CE secondo la normativa tecnica vigente, dovranno essere muniti di tale marchio.</w:t>
      </w:r>
    </w:p>
    <w:p w:rsidR="00F252A3" w:rsidRPr="00484DB6" w:rsidRDefault="00F252A3" w:rsidP="00F252A3">
      <w:pPr>
        <w:ind w:firstLine="284"/>
        <w:rPr>
          <w:rFonts w:cs="Arial"/>
          <w:sz w:val="20"/>
        </w:rPr>
      </w:pPr>
    </w:p>
    <w:p w:rsidR="00F252A3" w:rsidRPr="00484DB6" w:rsidRDefault="00F252A3" w:rsidP="00F252A3">
      <w:pPr>
        <w:jc w:val="center"/>
        <w:rPr>
          <w:rFonts w:cs="Arial"/>
          <w:b/>
          <w:sz w:val="20"/>
        </w:rPr>
      </w:pPr>
      <w:r w:rsidRPr="00484DB6">
        <w:rPr>
          <w:rFonts w:cs="Arial"/>
          <w:b/>
          <w:sz w:val="20"/>
        </w:rPr>
        <w:t>Art. 2.3</w:t>
      </w:r>
    </w:p>
    <w:p w:rsidR="00F252A3" w:rsidRPr="00484DB6" w:rsidRDefault="00F252A3" w:rsidP="00F252A3">
      <w:pPr>
        <w:jc w:val="center"/>
        <w:rPr>
          <w:rFonts w:cs="Arial"/>
          <w:b/>
          <w:sz w:val="20"/>
        </w:rPr>
      </w:pPr>
      <w:r w:rsidRPr="00484DB6">
        <w:rPr>
          <w:rFonts w:cs="Arial"/>
          <w:b/>
          <w:sz w:val="20"/>
        </w:rPr>
        <w:t>MATERIALI INERTI PER CONGLOMERATI CEMENTIZI E PER MALTE</w:t>
      </w:r>
    </w:p>
    <w:p w:rsidR="00F252A3" w:rsidRPr="00484DB6" w:rsidRDefault="00F252A3" w:rsidP="00F252A3">
      <w:pPr>
        <w:rPr>
          <w:rFonts w:cs="Arial"/>
          <w:sz w:val="20"/>
        </w:rPr>
      </w:pPr>
    </w:p>
    <w:p w:rsidR="00F252A3" w:rsidRPr="00484DB6" w:rsidRDefault="00F252A3" w:rsidP="00F252A3">
      <w:pPr>
        <w:ind w:firstLine="355"/>
        <w:rPr>
          <w:rFonts w:cs="Arial"/>
          <w:sz w:val="20"/>
        </w:rPr>
      </w:pPr>
      <w:r w:rsidRPr="00484DB6">
        <w:rPr>
          <w:rFonts w:cs="Arial"/>
          <w:sz w:val="20"/>
        </w:rPr>
        <w:t>1) Tutti gli inerti da impiegare nella formazione degli impasti destinati alla esecuzione di opere in conglomerato cementizio semplice od armato devono corrispondere alle condizioni di accettazione stabilite dalle norme vigenti in materia.</w:t>
      </w:r>
    </w:p>
    <w:p w:rsidR="00F252A3" w:rsidRPr="00484DB6" w:rsidRDefault="00F252A3" w:rsidP="00F252A3">
      <w:pPr>
        <w:ind w:firstLine="355"/>
        <w:rPr>
          <w:rFonts w:cs="Arial"/>
          <w:sz w:val="20"/>
        </w:rPr>
      </w:pPr>
      <w:r w:rsidRPr="00484DB6">
        <w:rPr>
          <w:rFonts w:cs="Arial"/>
          <w:sz w:val="20"/>
        </w:rPr>
        <w:t>2) Gli aggregati per conglomerati cementizi, naturali e di frantumazione, devono essere costituiti da elementi non gelivi e non friabili, privi di sostanze organiche, limose ed argillose, di getto, ecc., in proporzioni non nocive all'indurimento del conglomerato o alla conservazione delle armature. La ghiaia o il pietrisco devono avere dimensioni massime commisurate alle caratteristiche geometriche della carpenteria del getto ed all'ingombro delle armature. La sabbia per malte dovrà essere priva di sostanze organiche, terrose o argillose, ed avere dimensione massima dei grani di 2 mm per murature in genere, di 1 mm per gli intonaci e murature di paramento o in pietra da taglio.</w:t>
      </w:r>
    </w:p>
    <w:p w:rsidR="00F252A3" w:rsidRPr="00484DB6" w:rsidRDefault="00F252A3" w:rsidP="00F252A3">
      <w:pPr>
        <w:ind w:firstLine="355"/>
        <w:rPr>
          <w:rFonts w:cs="Arial"/>
          <w:sz w:val="20"/>
        </w:rPr>
      </w:pPr>
      <w:r w:rsidRPr="00484DB6">
        <w:rPr>
          <w:rFonts w:cs="Arial"/>
          <w:sz w:val="20"/>
        </w:rPr>
        <w:t>Sono idonei alla produzione di calcestruzzo per uso strutturale gli aggregati ottenuti dalla lavorazione di materiali naturali, artificiali, oppure provenienti da processi di riciclo conformi alla norma europea armonizzata</w:t>
      </w:r>
      <w:r w:rsidRPr="00484DB6">
        <w:rPr>
          <w:rFonts w:cs="Arial"/>
          <w:b/>
          <w:sz w:val="20"/>
        </w:rPr>
        <w:t xml:space="preserve"> </w:t>
      </w:r>
      <w:r w:rsidRPr="00484DB6">
        <w:rPr>
          <w:rFonts w:cs="Arial"/>
          <w:sz w:val="20"/>
        </w:rPr>
        <w:t>UNI EN 12620 e, per gli aggregati leggeri, alla norma europea armonizzata</w:t>
      </w:r>
      <w:r w:rsidRPr="00484DB6">
        <w:rPr>
          <w:rFonts w:cs="Arial"/>
          <w:b/>
          <w:sz w:val="20"/>
        </w:rPr>
        <w:t xml:space="preserve"> </w:t>
      </w:r>
      <w:r w:rsidRPr="00484DB6">
        <w:rPr>
          <w:rFonts w:cs="Arial"/>
          <w:sz w:val="20"/>
        </w:rPr>
        <w:t>UNI EN 13055. È consentito l’uso di aggregati grossi provenienti da riciclo, secondo i limiti di cui al punto 11.2.9.2 del D.M. 17 gennaio 2018 a condizione che la miscela di calcestruzzo, confezionato con aggregati riciclati, venga preliminarmente qualificata e documentata, nonché accettata in cantiere, attraverso le procedure di cui alle citate norme.</w:t>
      </w:r>
    </w:p>
    <w:p w:rsidR="00F252A3" w:rsidRPr="00484DB6" w:rsidRDefault="00F252A3" w:rsidP="00F252A3">
      <w:pPr>
        <w:ind w:firstLine="355"/>
        <w:rPr>
          <w:rFonts w:cs="Arial"/>
          <w:sz w:val="20"/>
        </w:rPr>
      </w:pPr>
      <w:r w:rsidRPr="00484DB6">
        <w:rPr>
          <w:rFonts w:cs="Arial"/>
          <w:sz w:val="20"/>
        </w:rPr>
        <w:t xml:space="preserve">Per quanto riguarda i controlli di accettazione degli aggregati da effettuarsi a cura del Direttore dei Lavori, questi sono finalizzati almeno alla verifica delle caratteristiche tecniche riportate al punto 11.2.9.2 del D.M. 17 gennaio 2018. </w:t>
      </w:r>
    </w:p>
    <w:p w:rsidR="00F252A3" w:rsidRPr="00484DB6" w:rsidRDefault="00F252A3" w:rsidP="00F252A3">
      <w:pPr>
        <w:ind w:firstLine="355"/>
        <w:rPr>
          <w:rFonts w:cs="Arial"/>
          <w:sz w:val="20"/>
        </w:rPr>
      </w:pPr>
      <w:r w:rsidRPr="00484DB6">
        <w:rPr>
          <w:rFonts w:cs="Arial"/>
          <w:sz w:val="20"/>
        </w:rPr>
        <w:lastRenderedPageBreak/>
        <w:t xml:space="preserve">3) Gli additivi per impasti cementizi, come da norma UNI EN 934, si intendono classificati come segue: fluidificanti; aeranti; ritardanti; acceleranti; </w:t>
      </w:r>
      <w:proofErr w:type="spellStart"/>
      <w:r w:rsidRPr="00484DB6">
        <w:rPr>
          <w:rFonts w:cs="Arial"/>
          <w:sz w:val="20"/>
        </w:rPr>
        <w:t>fluidificanti-aeranti</w:t>
      </w:r>
      <w:proofErr w:type="spellEnd"/>
      <w:r w:rsidRPr="00484DB6">
        <w:rPr>
          <w:rFonts w:cs="Arial"/>
          <w:sz w:val="20"/>
        </w:rPr>
        <w:t xml:space="preserve">; </w:t>
      </w:r>
      <w:proofErr w:type="spellStart"/>
      <w:r w:rsidRPr="00484DB6">
        <w:rPr>
          <w:rFonts w:cs="Arial"/>
          <w:sz w:val="20"/>
        </w:rPr>
        <w:t>fluidificanti-ritardanti</w:t>
      </w:r>
      <w:proofErr w:type="spellEnd"/>
      <w:r w:rsidRPr="00484DB6">
        <w:rPr>
          <w:rFonts w:cs="Arial"/>
          <w:sz w:val="20"/>
        </w:rPr>
        <w:t>; fluidificanti- acceleranti; antigelo-superfluidificanti. Per le modalità di controllo ed accettazione la Direzione dei Lavori potrà far eseguire prove od accettare, secondo i criteri dell'articolo "</w:t>
      </w:r>
      <w:r w:rsidRPr="00484DB6">
        <w:rPr>
          <w:rFonts w:cs="Arial"/>
          <w:i/>
          <w:sz w:val="20"/>
        </w:rPr>
        <w:t>Norme Generali - Accettazione Qualità ed Impiego dei Materiali</w:t>
      </w:r>
      <w:r w:rsidRPr="00484DB6">
        <w:rPr>
          <w:rFonts w:cs="Arial"/>
          <w:sz w:val="20"/>
        </w:rPr>
        <w:t>", l'attestazione di conformità alle norme UNI EN 934, UNI EN 480 (varie parti).</w:t>
      </w:r>
    </w:p>
    <w:p w:rsidR="00F252A3" w:rsidRPr="00484DB6" w:rsidRDefault="00F252A3" w:rsidP="00F252A3">
      <w:pPr>
        <w:ind w:firstLine="355"/>
        <w:rPr>
          <w:rFonts w:cs="Arial"/>
          <w:sz w:val="20"/>
        </w:rPr>
      </w:pPr>
      <w:r w:rsidRPr="00484DB6">
        <w:rPr>
          <w:rFonts w:cs="Arial"/>
          <w:sz w:val="20"/>
        </w:rPr>
        <w:t>4) I conglomerati cementizi per strutture in cemento armato dovranno rispettare tutte le prescrizioni di cui al D.M. 17 gennaio 2018 e relative circolari esplicative.</w:t>
      </w:r>
    </w:p>
    <w:p w:rsidR="00F252A3" w:rsidRPr="00484DB6" w:rsidRDefault="00F252A3" w:rsidP="00F252A3">
      <w:pPr>
        <w:ind w:firstLine="355"/>
        <w:rPr>
          <w:rFonts w:cs="Arial"/>
          <w:sz w:val="20"/>
        </w:rPr>
      </w:pPr>
    </w:p>
    <w:p w:rsidR="00F252A3" w:rsidRPr="00484DB6" w:rsidRDefault="00F252A3" w:rsidP="00F252A3">
      <w:pPr>
        <w:ind w:firstLine="355"/>
        <w:rPr>
          <w:rFonts w:cs="Arial"/>
          <w:sz w:val="20"/>
        </w:rPr>
      </w:pPr>
      <w:r w:rsidRPr="00484DB6">
        <w:rPr>
          <w:rFonts w:cs="Arial"/>
          <w:sz w:val="20"/>
        </w:rPr>
        <w:t>Per quanto non espressamente contemplato, si rinvia alla seguente normativa tecnica: UNI EN 934 (varie parti), UNI EN 480 (varie parti), UNI EN 13055-1.</w:t>
      </w:r>
    </w:p>
    <w:p w:rsidR="00F252A3" w:rsidRPr="00484DB6" w:rsidRDefault="00F252A3" w:rsidP="00F252A3">
      <w:pPr>
        <w:ind w:firstLine="355"/>
        <w:rPr>
          <w:rFonts w:cs="Arial"/>
          <w:sz w:val="20"/>
        </w:rPr>
      </w:pPr>
      <w:r w:rsidRPr="00484DB6">
        <w:rPr>
          <w:rFonts w:cs="Arial"/>
          <w:sz w:val="20"/>
        </w:rPr>
        <w:t>Tutti i prodotti e/o materiali di cui al presente articolo, qualora possano essere dotati di marcatura CE secondo la normativa tecnica vigente, dovranno essere muniti di tale marchio.</w:t>
      </w:r>
    </w:p>
    <w:p w:rsidR="00F252A3" w:rsidRPr="00484DB6" w:rsidRDefault="00F252A3" w:rsidP="00F252A3">
      <w:pPr>
        <w:ind w:firstLine="355"/>
        <w:rPr>
          <w:rFonts w:cs="Arial"/>
          <w:sz w:val="20"/>
        </w:rPr>
      </w:pPr>
    </w:p>
    <w:p w:rsidR="00F252A3" w:rsidRPr="00484DB6" w:rsidRDefault="00F252A3" w:rsidP="00F252A3">
      <w:pPr>
        <w:jc w:val="center"/>
        <w:rPr>
          <w:rFonts w:cs="Arial"/>
          <w:b/>
          <w:sz w:val="20"/>
        </w:rPr>
      </w:pPr>
      <w:r w:rsidRPr="00484DB6">
        <w:rPr>
          <w:rFonts w:cs="Arial"/>
          <w:b/>
          <w:sz w:val="20"/>
        </w:rPr>
        <w:t>Art. 2.4</w:t>
      </w:r>
    </w:p>
    <w:p w:rsidR="00F252A3" w:rsidRPr="00484DB6" w:rsidRDefault="00F252A3" w:rsidP="00F252A3">
      <w:pPr>
        <w:jc w:val="center"/>
        <w:rPr>
          <w:rFonts w:cs="Arial"/>
          <w:b/>
          <w:sz w:val="20"/>
        </w:rPr>
      </w:pPr>
      <w:r w:rsidRPr="00484DB6">
        <w:rPr>
          <w:rFonts w:cs="Arial"/>
          <w:b/>
          <w:sz w:val="20"/>
        </w:rPr>
        <w:t>ELEMENTI DI LATERIZIO E CALCESTRUZZO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Gli elementi resistenti artificiali da impiegare nelle murature (elementi in laterizio ed in calcestruzzo) possono essere costituiti di laterizio normale, laterizio alleggerito in pasta, calcestruzzo normale, calcestruzzo alleggerito.</w:t>
      </w:r>
    </w:p>
    <w:p w:rsidR="00F252A3" w:rsidRPr="00484DB6" w:rsidRDefault="00F252A3" w:rsidP="00F252A3">
      <w:pPr>
        <w:ind w:firstLine="284"/>
        <w:rPr>
          <w:rFonts w:cs="Arial"/>
          <w:sz w:val="20"/>
        </w:rPr>
      </w:pPr>
      <w:r w:rsidRPr="00484DB6">
        <w:rPr>
          <w:rFonts w:cs="Arial"/>
          <w:sz w:val="20"/>
        </w:rPr>
        <w:t>Quando impiegati nella costruzione di murature portanti, essi debbono rispondere alle prescrizioni contenute nel D.M. 17 gennaio 2018, nelle relative circolari esplicative e norme vigenti.</w:t>
      </w:r>
    </w:p>
    <w:p w:rsidR="00F252A3" w:rsidRPr="00484DB6" w:rsidRDefault="00F252A3" w:rsidP="00F252A3">
      <w:pPr>
        <w:ind w:firstLine="284"/>
        <w:rPr>
          <w:rFonts w:cs="Arial"/>
          <w:sz w:val="20"/>
        </w:rPr>
      </w:pPr>
      <w:r w:rsidRPr="00484DB6">
        <w:rPr>
          <w:rFonts w:cs="Arial"/>
          <w:sz w:val="20"/>
        </w:rPr>
        <w:t>Nel caso di murature non portanti le suddette prescrizioni possono costituire utile riferimento, insieme a quelle della norma UNI EN 771.</w:t>
      </w:r>
    </w:p>
    <w:p w:rsidR="00F252A3" w:rsidRPr="00484DB6" w:rsidRDefault="00F252A3" w:rsidP="00F252A3">
      <w:pPr>
        <w:ind w:firstLine="284"/>
        <w:rPr>
          <w:rFonts w:cs="Arial"/>
          <w:sz w:val="20"/>
        </w:rPr>
      </w:pPr>
      <w:r w:rsidRPr="00484DB6">
        <w:rPr>
          <w:rFonts w:cs="Arial"/>
          <w:sz w:val="20"/>
        </w:rPr>
        <w:t>Gli elementi resistenti di laterizio e di calcestruzzo possono contenere forature rispondenti alle prescrizioni del succitato D.M. 17 gennaio 2018 e dalle relative norme vigenti.</w:t>
      </w:r>
    </w:p>
    <w:p w:rsidR="00F252A3" w:rsidRPr="00484DB6" w:rsidRDefault="00F252A3" w:rsidP="00F252A3">
      <w:pPr>
        <w:ind w:firstLine="284"/>
        <w:rPr>
          <w:rFonts w:cs="Arial"/>
          <w:sz w:val="20"/>
        </w:rPr>
      </w:pPr>
      <w:r w:rsidRPr="00484DB6">
        <w:rPr>
          <w:rFonts w:cs="Arial"/>
          <w:sz w:val="20"/>
        </w:rPr>
        <w:t>La resistenza meccanica degli elementi deve essere dimostrata attraverso certificazioni contenenti risultati delle prove e condotte da laboratori ufficiali negli stabilimenti di produzione, con le modalità previste nel D.M. di cui sopra.</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Tutti i prodotti e/o materiali di cui al presente articolo, qualora possano essere dotati di marcatura CE secondo la normativa tecnica vigente, dovranno essere muniti di tale marchio.</w:t>
      </w:r>
    </w:p>
    <w:p w:rsidR="00F252A3" w:rsidRPr="00484DB6" w:rsidRDefault="00F252A3" w:rsidP="00F252A3">
      <w:pPr>
        <w:ind w:firstLine="284"/>
        <w:rPr>
          <w:rFonts w:cs="Arial"/>
          <w:sz w:val="20"/>
        </w:rPr>
      </w:pPr>
      <w:r w:rsidRPr="00484DB6">
        <w:rPr>
          <w:rFonts w:cs="Arial"/>
          <w:sz w:val="20"/>
        </w:rPr>
        <w:t>È facoltà della Direzione dei Lavori richiedere un controllo di accettazione, avente lo scopo di accertare se gli elementi da mettere in opera abbiano le caratteristiche dichiarate dal produttore.</w:t>
      </w:r>
    </w:p>
    <w:p w:rsidR="00F252A3" w:rsidRPr="00484DB6" w:rsidRDefault="00F252A3" w:rsidP="00F252A3">
      <w:pPr>
        <w:ind w:firstLine="284"/>
        <w:rPr>
          <w:rFonts w:cs="Arial"/>
          <w:sz w:val="20"/>
        </w:rPr>
      </w:pPr>
    </w:p>
    <w:p w:rsidR="00F252A3" w:rsidRPr="00484DB6" w:rsidRDefault="00F252A3" w:rsidP="00F252A3">
      <w:pPr>
        <w:jc w:val="center"/>
        <w:rPr>
          <w:rFonts w:cs="Arial"/>
          <w:b/>
          <w:sz w:val="20"/>
        </w:rPr>
      </w:pPr>
      <w:r w:rsidRPr="00484DB6">
        <w:rPr>
          <w:rFonts w:cs="Arial"/>
          <w:b/>
          <w:sz w:val="20"/>
        </w:rPr>
        <w:t>Art. 2.5</w:t>
      </w:r>
    </w:p>
    <w:p w:rsidR="00F252A3" w:rsidRPr="00484DB6" w:rsidRDefault="00F252A3" w:rsidP="00F252A3">
      <w:pPr>
        <w:jc w:val="center"/>
        <w:rPr>
          <w:rFonts w:cs="Arial"/>
          <w:b/>
          <w:sz w:val="20"/>
        </w:rPr>
      </w:pPr>
      <w:r w:rsidRPr="00484DB6">
        <w:rPr>
          <w:rFonts w:cs="Arial"/>
          <w:b/>
          <w:sz w:val="20"/>
        </w:rPr>
        <w:t>VALUTAZIONE PRELIMINARE CALCESTRUZZO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L'appaltatore, prima dell’inizio della costruzione dell’opera, deve effettuare idonee prove preliminari di studio ed acquisire idonea documentazione relativa ai componenti, per ciascuna miscela omogenea di calcestruzzo da utilizzare, al fine di ottenere le prestazioni richieste dal progetto.</w:t>
      </w:r>
    </w:p>
    <w:p w:rsidR="00F252A3" w:rsidRPr="00484DB6" w:rsidRDefault="00F252A3" w:rsidP="00F252A3">
      <w:pPr>
        <w:ind w:firstLine="284"/>
        <w:rPr>
          <w:rFonts w:cs="Arial"/>
          <w:sz w:val="20"/>
        </w:rPr>
      </w:pPr>
      <w:r w:rsidRPr="00484DB6">
        <w:rPr>
          <w:rFonts w:cs="Arial"/>
          <w:sz w:val="20"/>
        </w:rPr>
        <w:t>Nel caso di forniture provenienti da impianto di produzione industrializzata con certificato di controllo della produzione in fabbrica, tale documentazione è costituita da quella di identificazione, qualificazione e controllo dei prodotti da fornire.</w:t>
      </w:r>
    </w:p>
    <w:p w:rsidR="00F252A3" w:rsidRPr="00484DB6" w:rsidRDefault="00F252A3" w:rsidP="00F252A3">
      <w:pPr>
        <w:ind w:firstLine="284"/>
        <w:rPr>
          <w:rFonts w:cs="Arial"/>
          <w:sz w:val="20"/>
        </w:rPr>
      </w:pPr>
      <w:r w:rsidRPr="00484DB6">
        <w:rPr>
          <w:rFonts w:cs="Arial"/>
          <w:sz w:val="20"/>
        </w:rPr>
        <w:t>Il Direttore dei Lavori ha l'obbligo di acquisire, prima dell'inizio della costruzione, la documentazione relativa alla valutazione preliminare delle prestazioni e di accettare le tipologie di calcestruzzo da fornire, con facoltà di far eseguire ulteriori prove preliminari.</w:t>
      </w:r>
    </w:p>
    <w:p w:rsidR="00F252A3" w:rsidRPr="00484DB6" w:rsidRDefault="00F252A3" w:rsidP="00F252A3">
      <w:pPr>
        <w:ind w:firstLine="284"/>
        <w:rPr>
          <w:rFonts w:cs="Arial"/>
          <w:sz w:val="20"/>
        </w:rPr>
      </w:pPr>
      <w:r w:rsidRPr="00484DB6">
        <w:rPr>
          <w:rFonts w:cs="Arial"/>
          <w:sz w:val="20"/>
        </w:rPr>
        <w:t>Il Direttore dei Lavori ha comunque l'obbligo di eseguire controlli sistematici in corso d’opera per verificare la corrispondenza delle caratteristiche del calcestruzzo fornito rispetto a quelle stabilite dal progetto.</w:t>
      </w:r>
    </w:p>
    <w:p w:rsidR="00F252A3" w:rsidRDefault="00F252A3" w:rsidP="00F252A3">
      <w:pPr>
        <w:ind w:firstLine="284"/>
        <w:rPr>
          <w:rFonts w:cs="Arial"/>
          <w:sz w:val="20"/>
        </w:rPr>
      </w:pPr>
    </w:p>
    <w:p w:rsidR="00C749CF" w:rsidRDefault="00C749CF" w:rsidP="00F252A3">
      <w:pPr>
        <w:ind w:firstLine="284"/>
        <w:rPr>
          <w:rFonts w:cs="Arial"/>
          <w:sz w:val="20"/>
        </w:rPr>
      </w:pPr>
    </w:p>
    <w:p w:rsidR="00C749CF" w:rsidRPr="00484DB6" w:rsidRDefault="00C749CF" w:rsidP="00F252A3">
      <w:pPr>
        <w:ind w:firstLine="284"/>
        <w:rPr>
          <w:rFonts w:cs="Arial"/>
          <w:sz w:val="20"/>
        </w:rPr>
      </w:pPr>
    </w:p>
    <w:p w:rsidR="00F252A3" w:rsidRPr="00484DB6" w:rsidRDefault="00F252A3" w:rsidP="00F252A3">
      <w:pPr>
        <w:rPr>
          <w:rFonts w:cs="Arial"/>
          <w:b/>
          <w:sz w:val="20"/>
        </w:rPr>
      </w:pPr>
      <w:bookmarkStart w:id="11" w:name="631"/>
      <w:bookmarkEnd w:id="11"/>
      <w:r w:rsidRPr="00484DB6">
        <w:rPr>
          <w:rFonts w:cs="Arial"/>
          <w:b/>
          <w:sz w:val="20"/>
        </w:rPr>
        <w:t>2.6 MATERIALI E PRODOTTI PER USO STRUTTURALE</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Generalità</w:t>
      </w:r>
    </w:p>
    <w:p w:rsidR="00F252A3" w:rsidRPr="00484DB6" w:rsidRDefault="00F252A3" w:rsidP="00F252A3">
      <w:pPr>
        <w:ind w:firstLine="284"/>
        <w:rPr>
          <w:rFonts w:cs="Arial"/>
          <w:sz w:val="20"/>
        </w:rPr>
      </w:pPr>
      <w:r w:rsidRPr="00484DB6">
        <w:rPr>
          <w:rFonts w:cs="Arial"/>
          <w:sz w:val="20"/>
        </w:rPr>
        <w:t>I materiali ed i prodotti per uso strutturale, utilizzati nelle opere soggette al D.M. 17 gennaio 2018 devono rispondere ai requisiti indicati nel seguito.</w:t>
      </w:r>
    </w:p>
    <w:p w:rsidR="00F252A3" w:rsidRPr="00484DB6" w:rsidRDefault="00F252A3" w:rsidP="00F252A3">
      <w:pPr>
        <w:ind w:firstLine="284"/>
        <w:rPr>
          <w:rFonts w:cs="Arial"/>
          <w:sz w:val="20"/>
        </w:rPr>
      </w:pPr>
      <w:r w:rsidRPr="00484DB6">
        <w:rPr>
          <w:rFonts w:cs="Arial"/>
          <w:sz w:val="20"/>
        </w:rPr>
        <w:t xml:space="preserve">I materiali e prodotti per uso strutturale devono essere: </w:t>
      </w:r>
    </w:p>
    <w:p w:rsidR="00F252A3" w:rsidRPr="00484DB6" w:rsidRDefault="00F252A3" w:rsidP="00F252A3">
      <w:pPr>
        <w:numPr>
          <w:ilvl w:val="0"/>
          <w:numId w:val="3"/>
        </w:numPr>
        <w:autoSpaceDE w:val="0"/>
        <w:autoSpaceDN w:val="0"/>
        <w:adjustRightInd w:val="0"/>
        <w:ind w:left="850" w:hanging="425"/>
        <w:rPr>
          <w:rFonts w:cs="Arial"/>
          <w:sz w:val="20"/>
        </w:rPr>
      </w:pPr>
      <w:r w:rsidRPr="00484DB6">
        <w:rPr>
          <w:rFonts w:cs="Arial"/>
          <w:i/>
          <w:sz w:val="20"/>
        </w:rPr>
        <w:t>identificati</w:t>
      </w:r>
      <w:r w:rsidRPr="00484DB6">
        <w:rPr>
          <w:rFonts w:cs="Arial"/>
          <w:sz w:val="20"/>
        </w:rPr>
        <w:t xml:space="preserve"> univocamente a cura del fabbricante, secondo le procedure applicabili;</w:t>
      </w:r>
    </w:p>
    <w:p w:rsidR="00F252A3" w:rsidRPr="00484DB6" w:rsidRDefault="00F252A3" w:rsidP="00F252A3">
      <w:pPr>
        <w:numPr>
          <w:ilvl w:val="0"/>
          <w:numId w:val="3"/>
        </w:numPr>
        <w:autoSpaceDE w:val="0"/>
        <w:autoSpaceDN w:val="0"/>
        <w:adjustRightInd w:val="0"/>
        <w:ind w:left="850" w:hanging="425"/>
        <w:rPr>
          <w:rFonts w:cs="Arial"/>
          <w:sz w:val="20"/>
        </w:rPr>
      </w:pPr>
      <w:r w:rsidRPr="00484DB6">
        <w:rPr>
          <w:rFonts w:cs="Arial"/>
          <w:i/>
          <w:sz w:val="20"/>
        </w:rPr>
        <w:lastRenderedPageBreak/>
        <w:t>qualificati</w:t>
      </w:r>
      <w:r w:rsidRPr="00484DB6">
        <w:rPr>
          <w:rFonts w:cs="Arial"/>
          <w:sz w:val="20"/>
        </w:rPr>
        <w:t xml:space="preserve"> sotto la responsabilità del fabbricante, secondo le procedure di seguito richiamate;</w:t>
      </w:r>
    </w:p>
    <w:p w:rsidR="00F252A3" w:rsidRPr="00484DB6" w:rsidRDefault="00F252A3" w:rsidP="00F252A3">
      <w:pPr>
        <w:numPr>
          <w:ilvl w:val="0"/>
          <w:numId w:val="3"/>
        </w:numPr>
        <w:autoSpaceDE w:val="0"/>
        <w:autoSpaceDN w:val="0"/>
        <w:adjustRightInd w:val="0"/>
        <w:ind w:left="850" w:hanging="425"/>
        <w:rPr>
          <w:rFonts w:cs="Arial"/>
          <w:sz w:val="20"/>
        </w:rPr>
      </w:pPr>
      <w:r w:rsidRPr="00484DB6">
        <w:rPr>
          <w:rFonts w:cs="Arial"/>
          <w:i/>
          <w:sz w:val="20"/>
        </w:rPr>
        <w:t>accettati</w:t>
      </w:r>
      <w:r w:rsidRPr="00484DB6">
        <w:rPr>
          <w:rFonts w:cs="Arial"/>
          <w:sz w:val="20"/>
        </w:rPr>
        <w:t xml:space="preserve"> dal Direttore dei lavori mediante acquisizione e verifica della documentazione di identificazione e qualificazione, nonché mediante eventuali prove di accettazione.</w:t>
      </w:r>
    </w:p>
    <w:p w:rsidR="00F252A3" w:rsidRPr="00484DB6" w:rsidRDefault="00F252A3" w:rsidP="00F252A3">
      <w:pPr>
        <w:ind w:firstLine="284"/>
        <w:rPr>
          <w:rFonts w:cs="Arial"/>
          <w:sz w:val="20"/>
        </w:rPr>
      </w:pPr>
      <w:r w:rsidRPr="00484DB6">
        <w:rPr>
          <w:rFonts w:cs="Arial"/>
          <w:sz w:val="20"/>
        </w:rPr>
        <w:t>Per ogni materiale o prodotto identificato e qualificato mediante Marcatura CE è onere del Direttore dei Lavori, in fase di accettazione, accertarsi del possesso della marcatura stessa e richiedere copia della documentazione di marcatura CE e della Dichiarazione di Prestazione di cui al Capo II del Regolamento UE 305/2011, nonché – qualora ritenuto necessario, ai fini della verifica di quanto sopra - copia del certificato di costanza della prestazione del prodotto o di conformità del controllo della produzione in fabbrica, di cui al Capo IV ed Allegato V del Regolamento UE 305/2011, rilasciato da idoneo organismo notificato ai sensi del Capo VII dello stesso Regolamento (UE) 305/2011.</w:t>
      </w:r>
    </w:p>
    <w:p w:rsidR="00F252A3" w:rsidRPr="00484DB6" w:rsidRDefault="00F252A3" w:rsidP="00F252A3">
      <w:pPr>
        <w:ind w:firstLine="284"/>
        <w:rPr>
          <w:rFonts w:cs="Arial"/>
          <w:sz w:val="20"/>
        </w:rPr>
      </w:pPr>
      <w:r w:rsidRPr="00484DB6">
        <w:rPr>
          <w:rFonts w:cs="Arial"/>
          <w:sz w:val="20"/>
        </w:rPr>
        <w:t>Per i prodotti non qualificati mediante la Marcatura CE, il Direttore dei Lavori dovrà accertarsi del possesso e del regime di validità della documentazione di qualificazione o del Certificato di Valutazione Tecnica. I fabbricanti possono usare come Certificati di Valutazione Tecnica i Certificati di Idoneità tecnica all’impiego, già rilasciati dal Servizio Tecnico Centrale prima dell’entrata in vigore delle presenti norme tecniche, fino al termine della loro validità.</w:t>
      </w:r>
    </w:p>
    <w:p w:rsidR="00F252A3" w:rsidRPr="00484DB6" w:rsidRDefault="00F252A3" w:rsidP="00F252A3">
      <w:pPr>
        <w:ind w:firstLine="284"/>
        <w:rPr>
          <w:rFonts w:cs="Arial"/>
          <w:sz w:val="20"/>
        </w:rPr>
      </w:pPr>
      <w:r w:rsidRPr="00484DB6">
        <w:rPr>
          <w:rFonts w:cs="Arial"/>
          <w:sz w:val="20"/>
        </w:rPr>
        <w:t>Sarà inoltre onere del Direttore dei Lavori, nell’ambito dell’accettazione dei materiali prima della loro installazione, verificare che tali prodotti corrispondano a quanto indicato nella documentazione di identificazione e qualificazione, nonché accertare l’idoneità all’uso specifico del prodotto mediante verifica delle prestazioni dichiarate per il prodotto stesso nel rispetto dei requisiti stabiliti dalla normativa tecnica applicabile per l’uso specifico e dai documenti progettuali.</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Le prove su materiali e prodotti, a seconda delle specifiche procedure applicabili, devono generalmente essere effettuate da:</w:t>
      </w:r>
    </w:p>
    <w:p w:rsidR="00F252A3" w:rsidRPr="00484DB6" w:rsidRDefault="00F252A3" w:rsidP="00F252A3">
      <w:pPr>
        <w:ind w:left="568" w:hanging="284"/>
        <w:rPr>
          <w:rFonts w:cs="Arial"/>
          <w:sz w:val="20"/>
        </w:rPr>
      </w:pPr>
      <w:r w:rsidRPr="00484DB6">
        <w:rPr>
          <w:rFonts w:cs="Arial"/>
          <w:sz w:val="20"/>
        </w:rPr>
        <w:t>a) laboratori di prova notificati ai sensi del Capo VII del Regolamento UE 305/2011;</w:t>
      </w:r>
    </w:p>
    <w:p w:rsidR="00F252A3" w:rsidRPr="00484DB6" w:rsidRDefault="00F252A3" w:rsidP="00F252A3">
      <w:pPr>
        <w:ind w:left="568" w:hanging="284"/>
        <w:rPr>
          <w:rFonts w:cs="Arial"/>
          <w:sz w:val="20"/>
        </w:rPr>
      </w:pPr>
      <w:r w:rsidRPr="00484DB6">
        <w:rPr>
          <w:rFonts w:cs="Arial"/>
          <w:sz w:val="20"/>
        </w:rPr>
        <w:t xml:space="preserve">b) laboratori di cui all'art. 59 del DPR n. 380/2001 e </w:t>
      </w:r>
      <w:proofErr w:type="spellStart"/>
      <w:r w:rsidRPr="00484DB6">
        <w:rPr>
          <w:rFonts w:cs="Arial"/>
          <w:sz w:val="20"/>
        </w:rPr>
        <w:t>smi</w:t>
      </w:r>
      <w:proofErr w:type="spellEnd"/>
      <w:r w:rsidRPr="00484DB6">
        <w:rPr>
          <w:rFonts w:cs="Arial"/>
          <w:sz w:val="20"/>
        </w:rPr>
        <w:t>;</w:t>
      </w:r>
    </w:p>
    <w:p w:rsidR="00F252A3" w:rsidRPr="00484DB6" w:rsidRDefault="00F252A3" w:rsidP="00F252A3">
      <w:pPr>
        <w:ind w:left="568" w:hanging="284"/>
        <w:rPr>
          <w:rFonts w:cs="Arial"/>
          <w:sz w:val="20"/>
        </w:rPr>
      </w:pPr>
      <w:r w:rsidRPr="00484DB6">
        <w:rPr>
          <w:rFonts w:cs="Arial"/>
          <w:sz w:val="20"/>
        </w:rPr>
        <w:t>c) altri laboratori, dotati di adeguata competenza ed idonee attrezzature, previo nulla osta del Servizio Tecnico Centrale.</w:t>
      </w:r>
    </w:p>
    <w:p w:rsidR="00F252A3" w:rsidRPr="00484DB6" w:rsidRDefault="00F252A3" w:rsidP="00F252A3">
      <w:pPr>
        <w:rPr>
          <w:rFonts w:cs="Arial"/>
          <w:sz w:val="20"/>
        </w:rPr>
      </w:pPr>
    </w:p>
    <w:p w:rsidR="00F252A3" w:rsidRPr="00484DB6" w:rsidRDefault="00F252A3" w:rsidP="00F252A3">
      <w:pPr>
        <w:rPr>
          <w:rFonts w:cs="Arial"/>
          <w:sz w:val="20"/>
        </w:rPr>
      </w:pPr>
    </w:p>
    <w:p w:rsidR="00F252A3" w:rsidRPr="00484DB6" w:rsidRDefault="00F252A3" w:rsidP="00F252A3">
      <w:pPr>
        <w:rPr>
          <w:rFonts w:cs="Arial"/>
          <w:b/>
          <w:sz w:val="20"/>
        </w:rPr>
      </w:pPr>
      <w:bookmarkStart w:id="12" w:name="632"/>
      <w:bookmarkEnd w:id="12"/>
      <w:r w:rsidRPr="00484DB6">
        <w:rPr>
          <w:rFonts w:cs="Arial"/>
          <w:b/>
          <w:sz w:val="20"/>
        </w:rPr>
        <w:t>2.6.1 VALUTAZIONE PRELIMINARE CALCESTRUZZO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L'appaltatore, prima dell’inizio della costruzione dell’opera, deve effettuare idonee prove preliminari di studio ed acquisire idonea documentazione relativa ai componenti, per ciascuna miscela omogenea di calcestruzzo da utilizzare, al fine di ottenere le prestazioni richieste dal progetto.</w:t>
      </w:r>
    </w:p>
    <w:p w:rsidR="00F252A3" w:rsidRPr="00484DB6" w:rsidRDefault="00F252A3" w:rsidP="00F252A3">
      <w:pPr>
        <w:ind w:firstLine="284"/>
        <w:rPr>
          <w:rFonts w:cs="Arial"/>
          <w:sz w:val="20"/>
        </w:rPr>
      </w:pPr>
      <w:r w:rsidRPr="00484DB6">
        <w:rPr>
          <w:rFonts w:cs="Arial"/>
          <w:sz w:val="20"/>
        </w:rPr>
        <w:t>Nel caso di forniture provenienti da impianto di produzione industrializzata con certificato di controllo della produzione in fabbrica, tale documentazione è costituita da quella di identificazione, qualificazione e controllo dei prodotti da fornire.</w:t>
      </w:r>
    </w:p>
    <w:p w:rsidR="00F252A3" w:rsidRPr="00484DB6" w:rsidRDefault="00F252A3" w:rsidP="00F252A3">
      <w:pPr>
        <w:ind w:firstLine="284"/>
        <w:rPr>
          <w:rFonts w:cs="Arial"/>
          <w:sz w:val="20"/>
        </w:rPr>
      </w:pPr>
      <w:r w:rsidRPr="00484DB6">
        <w:rPr>
          <w:rFonts w:cs="Arial"/>
          <w:sz w:val="20"/>
        </w:rPr>
        <w:t>Il Direttore dei Lavori ha l'obbligo di acquisire, prima dell'inizio della costruzione, la documentazione relativa alla valutazione preliminare delle prestazioni e di accettare le tipologie di calcestruzzo da fornire, con facoltà di far eseguire ulteriori prove preliminari.</w:t>
      </w:r>
    </w:p>
    <w:p w:rsidR="00F252A3" w:rsidRPr="00484DB6" w:rsidRDefault="00F252A3" w:rsidP="00F252A3">
      <w:pPr>
        <w:ind w:firstLine="284"/>
        <w:rPr>
          <w:rFonts w:cs="Arial"/>
          <w:sz w:val="20"/>
        </w:rPr>
      </w:pPr>
      <w:r w:rsidRPr="00484DB6">
        <w:rPr>
          <w:rFonts w:cs="Arial"/>
          <w:sz w:val="20"/>
        </w:rPr>
        <w:t>Il Direttore dei Lavori ha comunque l'obbligo di eseguire controlli sistematici in corso d’opera per verificare la corrispondenza delle caratteristiche del calcestruzzo fornito rispetto a quelle stabilite dal progetto.</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p>
    <w:p w:rsidR="00F252A3" w:rsidRPr="00484DB6" w:rsidRDefault="00F252A3" w:rsidP="00F252A3">
      <w:pPr>
        <w:rPr>
          <w:rFonts w:cs="Arial"/>
          <w:b/>
          <w:sz w:val="20"/>
        </w:rPr>
      </w:pPr>
      <w:bookmarkStart w:id="13" w:name="633"/>
      <w:bookmarkEnd w:id="13"/>
      <w:r w:rsidRPr="00484DB6">
        <w:rPr>
          <w:rFonts w:cs="Arial"/>
          <w:b/>
          <w:sz w:val="20"/>
        </w:rPr>
        <w:t>2.6.2 Calcestruzzo per usi strutturali, armato e non, normale e precompresso.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b/>
          <w:sz w:val="20"/>
        </w:rPr>
        <w:t>Controllo di Accettazione</w:t>
      </w:r>
    </w:p>
    <w:p w:rsidR="00F252A3" w:rsidRPr="00484DB6" w:rsidRDefault="00F252A3" w:rsidP="00F252A3">
      <w:pPr>
        <w:ind w:firstLine="284"/>
        <w:rPr>
          <w:rFonts w:cs="Arial"/>
          <w:sz w:val="20"/>
        </w:rPr>
      </w:pPr>
      <w:r w:rsidRPr="00484DB6">
        <w:rPr>
          <w:rFonts w:cs="Arial"/>
          <w:sz w:val="20"/>
        </w:rPr>
        <w:t xml:space="preserve">Il controllo di accettazione è eseguito dal Direttore dei Lavori su ciascuna miscela omogenea e si configura, in funzione del quantitativo di calcestruzzo in accettazione come previsto dal D.M. 17 gennaio 2018. </w:t>
      </w:r>
    </w:p>
    <w:p w:rsidR="00F252A3" w:rsidRPr="00484DB6" w:rsidRDefault="00F252A3" w:rsidP="00F252A3">
      <w:pPr>
        <w:ind w:firstLine="284"/>
        <w:rPr>
          <w:rFonts w:cs="Arial"/>
          <w:sz w:val="20"/>
        </w:rPr>
      </w:pPr>
      <w:r w:rsidRPr="00484DB6">
        <w:rPr>
          <w:rFonts w:cs="Arial"/>
          <w:sz w:val="20"/>
        </w:rPr>
        <w:t>Il prelievo dei provini per il controllo di accettazione va eseguito alla presenza della Direzione dei Lavori o di un tecnico di sua fiducia che provvede alla redazione di apposito verbale di prelievo e dispone l'identificazione dei provini mediante sigle, etichettature indelebili, ecc.; la certificazione effettuata dal laboratorio prove materiali deve riportare riferimento a tale verbale.</w:t>
      </w:r>
    </w:p>
    <w:p w:rsidR="00F252A3" w:rsidRPr="00484DB6" w:rsidRDefault="00F252A3" w:rsidP="00F252A3">
      <w:pPr>
        <w:ind w:firstLine="284"/>
        <w:rPr>
          <w:rFonts w:cs="Arial"/>
          <w:sz w:val="20"/>
        </w:rPr>
      </w:pPr>
      <w:r w:rsidRPr="00484DB6">
        <w:rPr>
          <w:rFonts w:cs="Arial"/>
          <w:sz w:val="20"/>
        </w:rPr>
        <w:t>La domanda di prove al laboratorio deve essere sottoscritta dalla Direzione dei Lavori e deve contenere precise indicazioni sulla posizione delle strutture interessate da ciascun prelievo.</w:t>
      </w:r>
    </w:p>
    <w:p w:rsidR="00F252A3" w:rsidRPr="00484DB6" w:rsidRDefault="00F252A3" w:rsidP="00F252A3">
      <w:pPr>
        <w:ind w:firstLine="284"/>
        <w:rPr>
          <w:rFonts w:cs="Arial"/>
          <w:sz w:val="20"/>
        </w:rPr>
      </w:pPr>
      <w:r w:rsidRPr="00484DB6">
        <w:rPr>
          <w:rFonts w:cs="Arial"/>
          <w:sz w:val="20"/>
        </w:rPr>
        <w:t>Le prove non richieste dalla Direzione dei Lavori non possono fare parte dell'insieme statistico che serve per la determinazione della resistenza caratteristica del materiale.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lastRenderedPageBreak/>
        <w:t>Le prove a compressione vanno eseguite conformemente alle norme UNI EN 12390-3 tra il 28° e il 30° giorno di maturazione e comunque entro 45 giorni dalla data di prelievo. In caso di mancato rispetto di tali termini le prove di compressione vanno integrate da quelle riferite al controllo della resistenza del calcestruzzo in opera.</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I certificati di prova emessi dai laboratori devono contenere almeno:</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l’identificazione del laboratorio che rilascia il certificato;</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una identificazione univoca del certificato (numero di serie e data di emissione) e di ciascuna sua pagina, oltre al numero totale di pagine;</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l’identificazione del committente dei lavori in esecuzione e del cantiere di riferimento;</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il nominativo del Direttore dei Lavori che richiede la prova;</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la descrizione, l’identificazione e la data di prelievo dei campioni da provare;</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la data di ricevimento dei campioni e la data di esecuzione delle prove;</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l’identificazione delle specifiche di prova o la descrizione del metodo o procedura adottata, con l’indicazione delle norme di riferimento per l’esecuzione della stessa;</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le dimensioni effettivamente misurate dei campioni provati, dopo eventuale rettifica;</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le modalità di rottura dei campioni;</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la massa volumica del campione;</w:t>
      </w:r>
    </w:p>
    <w:p w:rsidR="00F252A3" w:rsidRPr="00484DB6" w:rsidRDefault="00F252A3" w:rsidP="00F252A3">
      <w:pPr>
        <w:numPr>
          <w:ilvl w:val="0"/>
          <w:numId w:val="4"/>
        </w:numPr>
        <w:autoSpaceDE w:val="0"/>
        <w:autoSpaceDN w:val="0"/>
        <w:adjustRightInd w:val="0"/>
        <w:ind w:left="710" w:hanging="284"/>
        <w:rPr>
          <w:rFonts w:cs="Arial"/>
          <w:sz w:val="20"/>
        </w:rPr>
      </w:pPr>
      <w:r w:rsidRPr="00484DB6">
        <w:rPr>
          <w:rFonts w:cs="Arial"/>
          <w:sz w:val="20"/>
        </w:rPr>
        <w:t>i valori delle prestazioni misurate.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Per gli elementi prefabbricati di serie, realizzati con processo industrializzato, sono valide le specifiche indicazioni di cui al punto 11.8.3.1 del D.M. 17 gennaio 2018.</w:t>
      </w:r>
    </w:p>
    <w:p w:rsidR="00F252A3" w:rsidRPr="00484DB6" w:rsidRDefault="00F252A3" w:rsidP="00F252A3">
      <w:pPr>
        <w:ind w:firstLine="284"/>
        <w:rPr>
          <w:rFonts w:cs="Arial"/>
          <w:sz w:val="20"/>
        </w:rPr>
      </w:pPr>
      <w:r w:rsidRPr="00484DB6">
        <w:rPr>
          <w:rFonts w:cs="Arial"/>
          <w:sz w:val="20"/>
        </w:rPr>
        <w:t>L’opera o la parte di opera realizzata con il calcestruzzo non conforme ai controlli di accettazione non può essere accettata finché la non conformità non è stata definitivamente risolta. Il costruttore deve procedere ad una verifica delle caratteristiche del calcestruzzo messo in opera mediante l’impiego di altri mezzi d’indagine, secondo quanto prescritto dal Direttore dei Lavori e conformemente a quanto indicato nel punto § 11.2.6 del D.M. 17 gennaio 2018. Qualora i suddetti controlli confermino la non conformità del calcestruzzo, si deve procedere, sentito il progettista, ad un controllo teorico e/o sperimentale della sicurezza della struttura interessata dal quantitativo di calcestruzzo non conforme, sulla base della resistenza ridotta del calcestruzzo.</w:t>
      </w:r>
    </w:p>
    <w:p w:rsidR="00F252A3" w:rsidRPr="00484DB6" w:rsidRDefault="00F252A3" w:rsidP="00F252A3">
      <w:pPr>
        <w:ind w:firstLine="284"/>
        <w:rPr>
          <w:rFonts w:cs="Arial"/>
          <w:sz w:val="20"/>
        </w:rPr>
      </w:pPr>
      <w:r w:rsidRPr="00484DB6">
        <w:rPr>
          <w:rFonts w:cs="Arial"/>
          <w:sz w:val="20"/>
        </w:rPr>
        <w:t>Qualora non fosse possibile effettuare la suddetta verifica delle caratteristiche del calcestruzzo, oppure i risultati del controllo teorico e/o sperimentale non risultassero soddisfacenti, si può: conservare l’opera o parte di essa per un uso compatibile con le diminuite caratteristiche prestazionali accertate, eseguire lavori di consolidamento oppure demolire l’opera o parte di essa.</w:t>
      </w:r>
    </w:p>
    <w:p w:rsidR="00F252A3" w:rsidRPr="00484DB6" w:rsidRDefault="00F252A3" w:rsidP="00F252A3">
      <w:pPr>
        <w:ind w:firstLine="284"/>
        <w:rPr>
          <w:rFonts w:cs="Arial"/>
          <w:sz w:val="20"/>
        </w:rPr>
      </w:pPr>
      <w:r w:rsidRPr="00484DB6">
        <w:rPr>
          <w:rFonts w:cs="Arial"/>
          <w:sz w:val="20"/>
        </w:rPr>
        <w:t>I controlli di accettazione sono obbligatori ed il collaudatore è tenuto a verificarne la validità, qualitativa e quantitativa; ove ciò non fosse rispettato, il collaudatore è tenuto a far eseguire delle prove che attestino le caratteristiche del calcestruzzo, seguendo la medesima procedura che si applica quando non risultino rispettati i limiti fissati dai controlli di accettazione.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Per calcestruzzo confezionato con processo industrializzato, la Direzione dei Lavori, è tenuta a verificare quanto prescritto nel punto 11.2.8. del succitato decreto ed a rifiutare le eventuali forniture provenienti da impianti non conformi; dovrà comunque effettuare le prove di accettazione previste al punto 11.2.5 del D.M. e ricevere, prima dell'inizio della fornitura, copia della certificazione del controllo di processo produttivo.</w:t>
      </w:r>
    </w:p>
    <w:p w:rsidR="00F252A3" w:rsidRPr="00484DB6" w:rsidRDefault="00F252A3" w:rsidP="00F252A3">
      <w:pPr>
        <w:ind w:firstLine="284"/>
        <w:rPr>
          <w:rFonts w:cs="Arial"/>
          <w:sz w:val="20"/>
        </w:rPr>
      </w:pPr>
      <w:r w:rsidRPr="00484DB6">
        <w:rPr>
          <w:rFonts w:cs="Arial"/>
          <w:sz w:val="20"/>
        </w:rPr>
        <w:t>Per produzioni di calcestruzzo inferiori a 1500 m</w:t>
      </w:r>
      <w:r w:rsidRPr="00484DB6">
        <w:rPr>
          <w:rFonts w:cs="Arial"/>
          <w:sz w:val="20"/>
          <w:vertAlign w:val="superscript"/>
        </w:rPr>
        <w:t>3</w:t>
      </w:r>
      <w:r w:rsidRPr="00484DB6">
        <w:rPr>
          <w:rFonts w:cs="Arial"/>
          <w:sz w:val="20"/>
        </w:rPr>
        <w:t xml:space="preserve"> di miscela omogenea, effettuate direttamente in cantiere, mediante processi di produzione temporanei e non industrializzati, la stessa deve essere confezionata sotto la diretta responsabilità del costruttore. La Direzione dei Lavori deve avere, prima dell'inizio della produzione, documentazione relativa ai criteri ed alle prove che hanno portato alla determinazione delle prestazioni di ciascuna miscela omogenea di conglomerato, così come indicato al punto 11.2.3. del D.M. 17 gennaio 2018.</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p>
    <w:p w:rsidR="00F252A3" w:rsidRPr="00484DB6" w:rsidRDefault="00F252A3" w:rsidP="00F252A3">
      <w:pPr>
        <w:rPr>
          <w:rFonts w:cs="Arial"/>
          <w:b/>
          <w:sz w:val="20"/>
        </w:rPr>
      </w:pPr>
      <w:bookmarkStart w:id="14" w:name="635"/>
      <w:bookmarkEnd w:id="14"/>
      <w:r w:rsidRPr="00484DB6">
        <w:rPr>
          <w:rFonts w:cs="Arial"/>
          <w:b/>
          <w:sz w:val="20"/>
        </w:rPr>
        <w:t>2.6.3 Acciaio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Prescrizioni comuni a tutte le tipologie di acciaio</w:t>
      </w:r>
    </w:p>
    <w:p w:rsidR="00F252A3" w:rsidRPr="00484DB6" w:rsidRDefault="00F252A3" w:rsidP="00F252A3">
      <w:pPr>
        <w:ind w:firstLine="284"/>
        <w:rPr>
          <w:rFonts w:cs="Arial"/>
          <w:sz w:val="20"/>
        </w:rPr>
      </w:pPr>
      <w:r w:rsidRPr="00484DB6">
        <w:rPr>
          <w:rFonts w:cs="Arial"/>
          <w:sz w:val="20"/>
        </w:rPr>
        <w:t>Gli acciai per l'armatura del calcestruzzo normale devono rispondere alle prescrizioni contenute nel vigente D.M. attuativo della legge 1086/71 (D.M. 17 gennaio 2018) e relative circolari esplicative.</w:t>
      </w:r>
    </w:p>
    <w:p w:rsidR="00F252A3" w:rsidRPr="00484DB6" w:rsidRDefault="00F252A3" w:rsidP="00F252A3">
      <w:pPr>
        <w:widowControl/>
        <w:ind w:firstLine="284"/>
        <w:rPr>
          <w:rFonts w:cs="Arial"/>
          <w:sz w:val="20"/>
        </w:rPr>
      </w:pPr>
      <w:r w:rsidRPr="00484DB6">
        <w:rPr>
          <w:rFonts w:cs="Arial"/>
          <w:sz w:val="20"/>
        </w:rPr>
        <w:t>È fatto divieto di impiegare acciai non qualificati all'origine.</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lastRenderedPageBreak/>
        <w:t>Forniture e documentazione di accompagnamento</w:t>
      </w:r>
    </w:p>
    <w:p w:rsidR="00F252A3" w:rsidRPr="00484DB6" w:rsidRDefault="00F252A3" w:rsidP="00F252A3">
      <w:pPr>
        <w:ind w:firstLine="284"/>
        <w:rPr>
          <w:rFonts w:cs="Arial"/>
          <w:sz w:val="20"/>
        </w:rPr>
      </w:pPr>
      <w:r w:rsidRPr="00484DB6">
        <w:rPr>
          <w:rFonts w:cs="Arial"/>
          <w:sz w:val="20"/>
        </w:rPr>
        <w:t xml:space="preserve">Tutte le forniture di acciaio, per le quali non sussista l'obbligo della Marcatura CE, devono essere accompagnate dalla copia dell'attestato di qualificazione del Servizio Tecnico Centrale. </w:t>
      </w:r>
    </w:p>
    <w:p w:rsidR="00F252A3" w:rsidRPr="00484DB6" w:rsidRDefault="00F252A3" w:rsidP="00F252A3">
      <w:pPr>
        <w:ind w:firstLine="284"/>
        <w:rPr>
          <w:rFonts w:cs="Arial"/>
          <w:sz w:val="20"/>
        </w:rPr>
      </w:pPr>
      <w:r w:rsidRPr="00484DB6">
        <w:rPr>
          <w:rFonts w:cs="Arial"/>
          <w:sz w:val="20"/>
        </w:rPr>
        <w:t>Il riferimento a tale attestato deve essere riportato sul documento di trasporto.</w:t>
      </w:r>
    </w:p>
    <w:p w:rsidR="00F252A3" w:rsidRPr="00484DB6" w:rsidRDefault="00F252A3" w:rsidP="00F252A3">
      <w:pPr>
        <w:ind w:firstLine="284"/>
        <w:rPr>
          <w:rFonts w:cs="Arial"/>
          <w:sz w:val="20"/>
        </w:rPr>
      </w:pPr>
      <w:r w:rsidRPr="00484DB6">
        <w:rPr>
          <w:rFonts w:cs="Arial"/>
          <w:sz w:val="20"/>
        </w:rPr>
        <w:t>Le forniture effettuate da un commerciante intermedio devono essere accompagnate da copia dei documenti rilasciati dal Produttore e completati con il riferimento al documento di trasporto del commerciante stesso.</w:t>
      </w:r>
    </w:p>
    <w:p w:rsidR="00F252A3" w:rsidRPr="00484DB6" w:rsidRDefault="00F252A3" w:rsidP="00F252A3">
      <w:pPr>
        <w:ind w:firstLine="284"/>
        <w:rPr>
          <w:rFonts w:cs="Arial"/>
          <w:sz w:val="20"/>
        </w:rPr>
      </w:pPr>
      <w:r w:rsidRPr="00484DB6">
        <w:rPr>
          <w:rFonts w:cs="Arial"/>
          <w:sz w:val="20"/>
        </w:rPr>
        <w:t>La Direzione dei Lavori prima della messa in opera, è tenuta a verificare quanto sopra indicato ed a rifiutare le eventuali forniture non conformi, ferme restando le responsabilità del produttore.</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Le forme di controllo obbligatorie</w:t>
      </w:r>
    </w:p>
    <w:p w:rsidR="00F252A3" w:rsidRPr="00484DB6" w:rsidRDefault="00F252A3" w:rsidP="00F252A3">
      <w:pPr>
        <w:ind w:firstLine="284"/>
        <w:rPr>
          <w:rFonts w:cs="Arial"/>
          <w:sz w:val="20"/>
        </w:rPr>
      </w:pPr>
      <w:r w:rsidRPr="00484DB6">
        <w:rPr>
          <w:rFonts w:cs="Arial"/>
          <w:sz w:val="20"/>
        </w:rPr>
        <w:t>Le nuove Norme Tecniche per le Costruzioni per tutti gli acciai prevedono tre forme di controllo obbligatorie (D.M. 17 gennaio 2018 paragrafo 11.3.1):</w:t>
      </w:r>
    </w:p>
    <w:p w:rsidR="00F252A3" w:rsidRPr="00484DB6" w:rsidRDefault="00F252A3" w:rsidP="00F252A3">
      <w:pPr>
        <w:numPr>
          <w:ilvl w:val="0"/>
          <w:numId w:val="5"/>
        </w:numPr>
        <w:autoSpaceDE w:val="0"/>
        <w:autoSpaceDN w:val="0"/>
        <w:adjustRightInd w:val="0"/>
        <w:ind w:left="710" w:hanging="284"/>
        <w:jc w:val="left"/>
        <w:rPr>
          <w:rFonts w:cs="Arial"/>
          <w:sz w:val="20"/>
        </w:rPr>
      </w:pPr>
      <w:r w:rsidRPr="00484DB6">
        <w:rPr>
          <w:rFonts w:cs="Arial"/>
          <w:sz w:val="20"/>
        </w:rPr>
        <w:t>in stabilimento di produzione, da eseguirsi sui lotti di produzione;</w:t>
      </w:r>
    </w:p>
    <w:p w:rsidR="00F252A3" w:rsidRPr="00484DB6" w:rsidRDefault="00F252A3" w:rsidP="00F252A3">
      <w:pPr>
        <w:numPr>
          <w:ilvl w:val="0"/>
          <w:numId w:val="5"/>
        </w:numPr>
        <w:autoSpaceDE w:val="0"/>
        <w:autoSpaceDN w:val="0"/>
        <w:adjustRightInd w:val="0"/>
        <w:ind w:left="710" w:hanging="284"/>
        <w:jc w:val="left"/>
        <w:rPr>
          <w:rFonts w:cs="Arial"/>
          <w:sz w:val="20"/>
        </w:rPr>
      </w:pPr>
      <w:r w:rsidRPr="00484DB6">
        <w:rPr>
          <w:rFonts w:cs="Arial"/>
          <w:sz w:val="20"/>
        </w:rPr>
        <w:t>nei centri di trasformazione;</w:t>
      </w:r>
    </w:p>
    <w:p w:rsidR="00F252A3" w:rsidRPr="00484DB6" w:rsidRDefault="00F252A3" w:rsidP="00F252A3">
      <w:pPr>
        <w:numPr>
          <w:ilvl w:val="0"/>
          <w:numId w:val="5"/>
        </w:numPr>
        <w:autoSpaceDE w:val="0"/>
        <w:autoSpaceDN w:val="0"/>
        <w:adjustRightInd w:val="0"/>
        <w:ind w:left="710" w:hanging="284"/>
        <w:jc w:val="left"/>
        <w:rPr>
          <w:rFonts w:cs="Arial"/>
          <w:sz w:val="20"/>
        </w:rPr>
      </w:pPr>
      <w:r w:rsidRPr="00484DB6">
        <w:rPr>
          <w:rFonts w:cs="Arial"/>
          <w:sz w:val="20"/>
        </w:rPr>
        <w:t>di accettazione in cantiere.</w:t>
      </w:r>
    </w:p>
    <w:p w:rsidR="00F252A3" w:rsidRPr="00484DB6" w:rsidRDefault="00F252A3" w:rsidP="00F252A3">
      <w:pPr>
        <w:ind w:firstLine="284"/>
        <w:rPr>
          <w:rFonts w:cs="Arial"/>
          <w:sz w:val="20"/>
        </w:rPr>
      </w:pPr>
      <w:r w:rsidRPr="00484DB6">
        <w:rPr>
          <w:rFonts w:cs="Arial"/>
          <w:sz w:val="20"/>
        </w:rPr>
        <w:t xml:space="preserve">A tale riguardo </w:t>
      </w:r>
      <w:r w:rsidRPr="00484DB6">
        <w:rPr>
          <w:rFonts w:cs="Arial"/>
          <w:i/>
          <w:sz w:val="20"/>
        </w:rPr>
        <w:t>il Lotto di produzione</w:t>
      </w:r>
      <w:r w:rsidRPr="00484DB6">
        <w:rPr>
          <w:rFonts w:cs="Arial"/>
          <w:sz w:val="20"/>
        </w:rPr>
        <w:t xml:space="preserve"> si riferisce a produzione continua, ordinata cronologicamente mediante apposizione di contrassegni al prodotto finito (rotolo finito, bobina di trefolo, fascio di barre, ecc.). Un lotto di produzione deve avere valori delle grandezze nominali omogenee (dimensionali, meccaniche, di formazione) e può essere compreso tra 30 e 120 tonnellate.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b/>
          <w:sz w:val="20"/>
        </w:rPr>
        <w:t>La marcatura e la rintracciabilità dei prodotti qualificati</w:t>
      </w:r>
    </w:p>
    <w:p w:rsidR="00F252A3" w:rsidRPr="00484DB6" w:rsidRDefault="00F252A3" w:rsidP="00F252A3">
      <w:pPr>
        <w:ind w:firstLine="284"/>
        <w:rPr>
          <w:rFonts w:cs="Arial"/>
          <w:sz w:val="20"/>
        </w:rPr>
      </w:pPr>
      <w:r w:rsidRPr="00484DB6">
        <w:rPr>
          <w:rFonts w:cs="Arial"/>
          <w:sz w:val="20"/>
        </w:rPr>
        <w:t>Ciascun prodotto qualificato deve costantemente essere riconoscibile per quanto concerne le caratteristiche qualitative e riconducibile allo stabilimento di produzione tramite marchiatura indelebile depositata presso il Servizio Tecnico Centrale, dalla quale risulti, in modo inequivocabile, il riferimento all’Azienda produttrice, allo Stabilimento, al tipo di acciaio ed alla sua eventuale saldabilità.</w:t>
      </w:r>
    </w:p>
    <w:p w:rsidR="00F252A3" w:rsidRPr="00484DB6" w:rsidRDefault="00F252A3" w:rsidP="00F252A3">
      <w:pPr>
        <w:ind w:firstLine="284"/>
        <w:rPr>
          <w:rFonts w:cs="Arial"/>
          <w:sz w:val="20"/>
        </w:rPr>
      </w:pPr>
      <w:r w:rsidRPr="00484DB6">
        <w:rPr>
          <w:rFonts w:cs="Arial"/>
          <w:sz w:val="20"/>
        </w:rPr>
        <w:t>Per stabilimento si intende una unità produttiva a sé stante, con impianti propri e magazzini per il prodotto finito. Nel caso di unità produttive multiple appartenenti allo stesso fabbricante, la qualificazione deve essere ripetuta per ognuna di esse e per ogni tipo di prodotto in esse fabbricato.</w:t>
      </w:r>
    </w:p>
    <w:p w:rsidR="00F252A3" w:rsidRPr="00484DB6" w:rsidRDefault="00F252A3" w:rsidP="00F252A3">
      <w:pPr>
        <w:ind w:firstLine="284"/>
        <w:rPr>
          <w:rFonts w:cs="Arial"/>
          <w:sz w:val="20"/>
        </w:rPr>
      </w:pPr>
      <w:r w:rsidRPr="00484DB6">
        <w:rPr>
          <w:rFonts w:cs="Arial"/>
          <w:sz w:val="20"/>
        </w:rPr>
        <w:t>Considerata la diversa natura, forma e dimensione dei prodotti, le caratteristiche degli impianti per la loro produzione, nonché la possibilità di fornitura sia in pezzi singoli sia in fasci, differenti possono essere i sistemi di marchiatura adottati, anche in relazione all’uso, quali, per esempio, l’impressione sui cilindri di laminazione, la punzonatura a caldo e a freddo, la stampigliatura a vernice, l’apposizione di targhe o cartellini, la sigillatura dei fasci e altri. Permane, comunque, l’obbligatorietà del marchio di laminazione per quanto riguarda le barre e i rotoli.</w:t>
      </w:r>
    </w:p>
    <w:p w:rsidR="00F252A3" w:rsidRPr="00484DB6" w:rsidRDefault="00F252A3" w:rsidP="00F252A3">
      <w:pPr>
        <w:ind w:firstLine="284"/>
        <w:rPr>
          <w:rFonts w:cs="Arial"/>
          <w:sz w:val="20"/>
        </w:rPr>
      </w:pPr>
      <w:r w:rsidRPr="00484DB6">
        <w:rPr>
          <w:rFonts w:cs="Arial"/>
          <w:sz w:val="20"/>
        </w:rPr>
        <w:t>Ogni prodotto deve essere marchiato con identificativi diversi da quelli di prodotti aventi differenti caratteristiche ma fabbricati nello stesso stabilimento, e con identificativi differenti da quelli di prodotti con uguali caratteristiche ma fabbricati in altri stabilimenti, siano essi o meno dello stesso produttore. La marchiatura deve essere inalterabile nel tempo e senza possibilità di manomissione.</w:t>
      </w:r>
    </w:p>
    <w:p w:rsidR="00F252A3" w:rsidRPr="00484DB6" w:rsidRDefault="00F252A3" w:rsidP="00F252A3">
      <w:pPr>
        <w:ind w:firstLine="284"/>
        <w:rPr>
          <w:rFonts w:cs="Arial"/>
          <w:sz w:val="20"/>
        </w:rPr>
      </w:pPr>
      <w:r w:rsidRPr="00484DB6">
        <w:rPr>
          <w:rFonts w:cs="Arial"/>
          <w:sz w:val="20"/>
        </w:rPr>
        <w:t>Per quanto possibile, anche in relazione all’uso del prodotto, il produttore è tenuto a marcare ogni singolo pezzo. Ove ciò non sia possibile, per la specifica tipologia del prodotto, la marcatura deve essere tale che, prima dell’apertura dell’eventuale ultima e più piccola confezione (fascio, bobina, rotolo, pacco, ecc.), il prodotto sia riconducibile al produttore, al tipo di acciaio, nonché al lotto di produzione e alla data di produzione.</w:t>
      </w:r>
    </w:p>
    <w:p w:rsidR="00F252A3" w:rsidRPr="00484DB6" w:rsidRDefault="00F252A3" w:rsidP="00F252A3">
      <w:pPr>
        <w:ind w:firstLine="284"/>
        <w:rPr>
          <w:rFonts w:cs="Arial"/>
          <w:sz w:val="20"/>
        </w:rPr>
      </w:pPr>
      <w:r w:rsidRPr="00484DB6">
        <w:rPr>
          <w:rFonts w:cs="Arial"/>
          <w:sz w:val="20"/>
        </w:rPr>
        <w:t>Tenendo presente che gli elementi determinanti della marcatura sono la sua inalterabilità nel tempo e l’impossibilità di manomissione, il produttore deve rispettare le modalità di marcatura denunciate nella documentazione presentata al servizio tecnico centrale, e deve comunicare tempestivamente le eventuali modifiche apportate.</w:t>
      </w:r>
    </w:p>
    <w:p w:rsidR="00F252A3" w:rsidRPr="00484DB6" w:rsidRDefault="00F252A3" w:rsidP="00F252A3">
      <w:pPr>
        <w:ind w:firstLine="284"/>
        <w:rPr>
          <w:rFonts w:cs="Arial"/>
          <w:sz w:val="20"/>
        </w:rPr>
      </w:pPr>
      <w:r w:rsidRPr="00484DB6">
        <w:rPr>
          <w:rFonts w:cs="Arial"/>
          <w:sz w:val="20"/>
        </w:rPr>
        <w:t>Il prodotto di acciaio non può essere impiegato in caso di:</w:t>
      </w:r>
    </w:p>
    <w:p w:rsidR="00F252A3" w:rsidRPr="00484DB6" w:rsidRDefault="00F252A3" w:rsidP="00F252A3">
      <w:pPr>
        <w:numPr>
          <w:ilvl w:val="0"/>
          <w:numId w:val="6"/>
        </w:numPr>
        <w:autoSpaceDE w:val="0"/>
        <w:autoSpaceDN w:val="0"/>
        <w:adjustRightInd w:val="0"/>
        <w:ind w:left="850" w:hanging="425"/>
        <w:jc w:val="left"/>
        <w:rPr>
          <w:rFonts w:cs="Arial"/>
          <w:sz w:val="20"/>
        </w:rPr>
      </w:pPr>
      <w:r w:rsidRPr="00484DB6">
        <w:rPr>
          <w:rFonts w:cs="Arial"/>
          <w:sz w:val="20"/>
        </w:rPr>
        <w:t>mancata marcatura;</w:t>
      </w:r>
    </w:p>
    <w:p w:rsidR="00F252A3" w:rsidRPr="00484DB6" w:rsidRDefault="00F252A3" w:rsidP="00F252A3">
      <w:pPr>
        <w:numPr>
          <w:ilvl w:val="0"/>
          <w:numId w:val="6"/>
        </w:numPr>
        <w:autoSpaceDE w:val="0"/>
        <w:autoSpaceDN w:val="0"/>
        <w:adjustRightInd w:val="0"/>
        <w:ind w:left="850" w:hanging="425"/>
        <w:jc w:val="left"/>
        <w:rPr>
          <w:rFonts w:cs="Arial"/>
          <w:sz w:val="20"/>
        </w:rPr>
      </w:pPr>
      <w:r w:rsidRPr="00484DB6">
        <w:rPr>
          <w:rFonts w:cs="Arial"/>
          <w:sz w:val="20"/>
        </w:rPr>
        <w:t>non corrispondenza a quanto depositato;</w:t>
      </w:r>
    </w:p>
    <w:p w:rsidR="00F252A3" w:rsidRPr="00484DB6" w:rsidRDefault="00F252A3" w:rsidP="00F252A3">
      <w:pPr>
        <w:numPr>
          <w:ilvl w:val="0"/>
          <w:numId w:val="6"/>
        </w:numPr>
        <w:autoSpaceDE w:val="0"/>
        <w:autoSpaceDN w:val="0"/>
        <w:adjustRightInd w:val="0"/>
        <w:ind w:left="850" w:hanging="425"/>
        <w:jc w:val="left"/>
        <w:rPr>
          <w:rFonts w:cs="Arial"/>
          <w:sz w:val="20"/>
        </w:rPr>
      </w:pPr>
      <w:r w:rsidRPr="00484DB6">
        <w:rPr>
          <w:rFonts w:cs="Arial"/>
          <w:sz w:val="20"/>
        </w:rPr>
        <w:t>illeggibilità, anche parziale, della marcatura.</w:t>
      </w:r>
    </w:p>
    <w:p w:rsidR="00F252A3" w:rsidRPr="00484DB6" w:rsidRDefault="00F252A3" w:rsidP="00F252A3">
      <w:pPr>
        <w:ind w:firstLine="284"/>
        <w:rPr>
          <w:rFonts w:cs="Arial"/>
          <w:sz w:val="20"/>
        </w:rPr>
      </w:pPr>
      <w:r w:rsidRPr="00484DB6">
        <w:rPr>
          <w:rFonts w:cs="Arial"/>
          <w:sz w:val="20"/>
        </w:rPr>
        <w:t>Eventuali disposizioni supplementari atte a facilitare l’identificazione e la rintracciabilità del prodotto attraverso il marchio possono essere emesse dal servizio tecnico centrale.</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 xml:space="preserve">Tutti i certificati relativi alle prove meccaniche degli acciai, sia in stabilimento che in cantiere o nel luogo di lavorazione, devono riportare l’indicazione del marchio identificativo, rilevato a cura del laboratorio incaricato dei controlli, sui campioni da sottoporre a prove. Ove i campioni fossero sprovvisti di tale marchio, oppure il marchio non dovesse rientrare fra quelli depositati presso il Servizio Tecnico Centrale, le certificazioni emesse dal laboratorio non possono assumere valenza ai </w:t>
      </w:r>
      <w:r w:rsidRPr="00484DB6">
        <w:rPr>
          <w:rFonts w:cs="Arial"/>
          <w:sz w:val="20"/>
        </w:rPr>
        <w:lastRenderedPageBreak/>
        <w:t>sensi delle presenti norme e di ciò ne deve essere fatta esplicita menzione sul certificato stesso. In tal caso il materiale non può essere utilizzato ed il laboratorio incaricato è tenuto ad informare di ciò il Servizio Tecnico Centrale.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Unità marcata scorporata: ulteriori indicazioni della Direzione dei Lavori per le prove di laboratorio</w:t>
      </w:r>
    </w:p>
    <w:p w:rsidR="00F252A3" w:rsidRPr="00484DB6" w:rsidRDefault="00F252A3" w:rsidP="00F252A3">
      <w:pPr>
        <w:ind w:firstLine="284"/>
        <w:rPr>
          <w:rFonts w:cs="Arial"/>
          <w:sz w:val="20"/>
        </w:rPr>
      </w:pPr>
      <w:r w:rsidRPr="00484DB6">
        <w:rPr>
          <w:rFonts w:cs="Arial"/>
          <w:sz w:val="20"/>
        </w:rPr>
        <w:t>Può accadere che durante il processo costruttivo, presso gli utilizzatori, presso i commercianti o presso i trasformatori intermedi, l’unità marcata (pezzo singolo o fascio) venga scorporata, per cui una parte, o il tutto, perda l’originale marcatura del prodotto. In questo caso, tanto gli utilizzatori quanto i commercianti e i trasformatori intermedi, oltre a dover predisporre idonee zone di stoccaggio, hanno la responsabilità di documentare la provenienza del prodotto mediante i documenti di accompagnamento del materiale e gli estremi del deposito del marchio presso il servizio tecnico centrale.</w:t>
      </w:r>
    </w:p>
    <w:p w:rsidR="00F252A3" w:rsidRPr="00484DB6" w:rsidRDefault="00F252A3" w:rsidP="00F252A3">
      <w:pPr>
        <w:ind w:firstLine="284"/>
        <w:rPr>
          <w:rFonts w:cs="Arial"/>
          <w:sz w:val="20"/>
        </w:rPr>
      </w:pPr>
      <w:r w:rsidRPr="00484DB6">
        <w:rPr>
          <w:rFonts w:cs="Arial"/>
          <w:sz w:val="20"/>
        </w:rPr>
        <w:t>In tal caso, i campioni destinati al laboratorio incaricato delle prove di cantiere devono essere accompagnati dalla sopraindicata documentazione e da una dichiarazione di provenienza rilasciata dalla Direzione dei Lavori.</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Conservazione della documentazione d’accompagnamento</w:t>
      </w:r>
    </w:p>
    <w:p w:rsidR="00F252A3" w:rsidRPr="00484DB6" w:rsidRDefault="00F252A3" w:rsidP="00F252A3">
      <w:pPr>
        <w:ind w:firstLine="284"/>
        <w:rPr>
          <w:rFonts w:cs="Arial"/>
          <w:sz w:val="20"/>
        </w:rPr>
      </w:pPr>
      <w:r w:rsidRPr="00484DB6">
        <w:rPr>
          <w:rFonts w:cs="Arial"/>
          <w:sz w:val="20"/>
        </w:rPr>
        <w:t>I produttori ed i successivi intermediari devono assicurare una corretta archiviazione della documentazione di accompagnamento dei materiali garantendone la disponibilità per almeno 10 anni. Ai fini della rintracciabilità dei prodotti, il costruttore deve inoltre assicurare la conservazione della medesima documentazione, unitamente a marchiature o etichette di riconoscimento, fino al completamento delle operazioni di collaudo statico.</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 xml:space="preserve">Forniture e documentazione di accompagnamento </w:t>
      </w:r>
    </w:p>
    <w:p w:rsidR="00F252A3" w:rsidRPr="00484DB6" w:rsidRDefault="00F252A3" w:rsidP="00F252A3">
      <w:pPr>
        <w:ind w:firstLine="284"/>
        <w:rPr>
          <w:rFonts w:cs="Arial"/>
          <w:sz w:val="20"/>
        </w:rPr>
      </w:pPr>
      <w:r w:rsidRPr="00484DB6">
        <w:rPr>
          <w:rFonts w:cs="Arial"/>
          <w:sz w:val="20"/>
        </w:rPr>
        <w:t>Le nuove norme tecniche stabiliscono che tutte le forniture di acciaio devono essere accompagnate dall’attestato di qualificazione del servizio tecnico centrale (D.M. 17 gennaio 2018 paragrafo 11.3.1.5) e dal certificato di controllo interno tipo 3.1, di cui alla norma UNI EN 10204, dello specifico lotto di materiale fornito.</w:t>
      </w:r>
    </w:p>
    <w:p w:rsidR="00F252A3" w:rsidRPr="00484DB6" w:rsidRDefault="00F252A3" w:rsidP="00F252A3">
      <w:pPr>
        <w:ind w:firstLine="284"/>
        <w:rPr>
          <w:rFonts w:cs="Arial"/>
          <w:sz w:val="20"/>
        </w:rPr>
      </w:pPr>
      <w:r w:rsidRPr="00484DB6">
        <w:rPr>
          <w:rFonts w:cs="Arial"/>
          <w:sz w:val="20"/>
        </w:rPr>
        <w:t>Tutte le forniture di acciaio, per le quali sussista l’obbligo della Marcatura CE, devono essere accompagnate dalla “Dichiarazione di prestazione” di cui al Regolamento UE 305/2011, dalla prevista marcatura CE nonché dal certificato di controllo interno tipo 3.1, di cui alla norma UNI EN 10204, dello specifico lotto di materiale fornito.</w:t>
      </w:r>
    </w:p>
    <w:p w:rsidR="00F252A3" w:rsidRPr="00484DB6" w:rsidRDefault="00F252A3" w:rsidP="00F252A3">
      <w:pPr>
        <w:ind w:firstLine="284"/>
        <w:rPr>
          <w:rFonts w:cs="Arial"/>
          <w:sz w:val="20"/>
        </w:rPr>
      </w:pPr>
      <w:r w:rsidRPr="00484DB6">
        <w:rPr>
          <w:rFonts w:cs="Arial"/>
          <w:sz w:val="20"/>
        </w:rPr>
        <w:t>Il riferimento agli attestati comprovanti la qualificazione del prodotto deve essere riportato sul documento di trasporto.</w:t>
      </w:r>
    </w:p>
    <w:p w:rsidR="00F252A3" w:rsidRPr="00484DB6" w:rsidRDefault="00F252A3" w:rsidP="00F252A3">
      <w:pPr>
        <w:ind w:firstLine="284"/>
        <w:rPr>
          <w:rFonts w:cs="Arial"/>
          <w:sz w:val="20"/>
        </w:rPr>
      </w:pPr>
      <w:r w:rsidRPr="00484DB6">
        <w:rPr>
          <w:rFonts w:cs="Arial"/>
          <w:sz w:val="20"/>
        </w:rPr>
        <w:t>Le forniture effettuate da un distributore devono essere accompagnate da copia dei documenti rilasciati dal fabbricante e completati con il riferimento al documento di trasporto del distributore stesso.</w:t>
      </w:r>
    </w:p>
    <w:p w:rsidR="00F252A3" w:rsidRPr="00484DB6" w:rsidRDefault="00F252A3" w:rsidP="00F252A3">
      <w:pPr>
        <w:ind w:firstLine="284"/>
        <w:rPr>
          <w:rFonts w:cs="Arial"/>
          <w:sz w:val="20"/>
        </w:rPr>
      </w:pPr>
      <w:r w:rsidRPr="00484DB6">
        <w:rPr>
          <w:rFonts w:cs="Arial"/>
          <w:sz w:val="20"/>
        </w:rPr>
        <w:t>Nel caso di fornitura in cantiere non proveniente da centro di trasformazione, il Direttore dei Lavori, prima della messa in opera, è tenuto a verificare quanto sopra indicato ed a rifiutare le eventuali forniture non conformi, ferme restando le responsabilità del fabbricante.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Centri di trasformazione</w:t>
      </w:r>
    </w:p>
    <w:p w:rsidR="00F252A3" w:rsidRPr="00484DB6" w:rsidRDefault="00F252A3" w:rsidP="00F252A3">
      <w:pPr>
        <w:ind w:firstLine="284"/>
        <w:rPr>
          <w:rFonts w:cs="Arial"/>
          <w:sz w:val="20"/>
        </w:rPr>
      </w:pPr>
      <w:r w:rsidRPr="00484DB6">
        <w:rPr>
          <w:rFonts w:cs="Arial"/>
          <w:sz w:val="20"/>
        </w:rPr>
        <w:t>Il Centro di trasformazione, impianto esterno alla fabbrica e/o al cantiere, fisso o mobile, che riceve dal produttore di acciaio elementi base (barre o rotoli, reti, lamiere o profilati, profilati cavi, ecc.) e confeziona elementi strutturali direttamente impiegabili in cantiere, pronti per la messa in opera o per successive lavorazioni, può ricevere e lavorare solo prodotti qualificati all'origine, accompagnati dalla documentazione prevista dalle norme vigenti.</w:t>
      </w:r>
    </w:p>
    <w:p w:rsidR="00F252A3" w:rsidRPr="00484DB6" w:rsidRDefault="00F252A3" w:rsidP="00F252A3">
      <w:pPr>
        <w:ind w:firstLine="284"/>
        <w:rPr>
          <w:rFonts w:cs="Arial"/>
          <w:strike/>
          <w:sz w:val="20"/>
        </w:rPr>
      </w:pPr>
      <w:r w:rsidRPr="00484DB6">
        <w:rPr>
          <w:rFonts w:cs="Arial"/>
          <w:sz w:val="20"/>
        </w:rPr>
        <w:t>La Direzione dei Lavori è tenuta a verificare la conformità a quanto indicato al punto 11.3.1.7 del D.M. 17 gennaio 2018 e a rifiutare le eventuali forniture non conformi, ferme restando le responsabilità del centro di trasformazione. Gli atti di cui sopra sono consegnati al collaudatore che, tra l’altro, riporta nel Certificato di collaudo gli estremi del Centro di trasformazione che ha fornito il materiale lavorato.</w:t>
      </w:r>
    </w:p>
    <w:p w:rsidR="00F252A3" w:rsidRPr="00484DB6" w:rsidRDefault="00F252A3" w:rsidP="00F252A3">
      <w:pPr>
        <w:ind w:firstLine="284"/>
        <w:rPr>
          <w:rFonts w:cs="Arial"/>
          <w:strike/>
          <w:sz w:val="20"/>
        </w:rPr>
      </w:pPr>
    </w:p>
    <w:p w:rsidR="00F252A3" w:rsidRPr="00484DB6" w:rsidRDefault="00F252A3" w:rsidP="00F252A3">
      <w:pPr>
        <w:rPr>
          <w:rFonts w:cs="Arial"/>
          <w:b/>
          <w:sz w:val="20"/>
        </w:rPr>
      </w:pPr>
      <w:r w:rsidRPr="00484DB6">
        <w:rPr>
          <w:rFonts w:cs="Arial"/>
          <w:b/>
          <w:sz w:val="20"/>
        </w:rPr>
        <w:t>Rintracciabilità dei prodotti</w:t>
      </w:r>
    </w:p>
    <w:p w:rsidR="00F252A3" w:rsidRPr="00484DB6" w:rsidRDefault="00F252A3" w:rsidP="00F252A3">
      <w:pPr>
        <w:ind w:firstLine="284"/>
        <w:rPr>
          <w:rFonts w:cs="Arial"/>
          <w:sz w:val="20"/>
        </w:rPr>
      </w:pPr>
      <w:r w:rsidRPr="00484DB6">
        <w:rPr>
          <w:rFonts w:cs="Arial"/>
          <w:sz w:val="20"/>
        </w:rPr>
        <w:t>Il centro di trasformazione può ricevere e lavorare solo prodotti qualificati all’origine, accompagnati dall’attestato di qualificazione del servizio tecnico centrale.</w:t>
      </w:r>
    </w:p>
    <w:p w:rsidR="00F252A3" w:rsidRPr="00484DB6" w:rsidRDefault="00F252A3" w:rsidP="00F252A3">
      <w:pPr>
        <w:ind w:firstLine="284"/>
        <w:rPr>
          <w:rFonts w:cs="Arial"/>
          <w:sz w:val="20"/>
        </w:rPr>
      </w:pPr>
      <w:r w:rsidRPr="00484DB6">
        <w:rPr>
          <w:rFonts w:cs="Arial"/>
          <w:sz w:val="20"/>
        </w:rPr>
        <w:t>Particolare attenzione deve essere posta nel caso in cui nel centro di trasformazione vengano utilizzati elementi base, comunque qualificati, ma provenienti da produttori differenti, attraverso specifiche procedure documentate che garantiscano la rintracciabilità dei prodotti.</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 xml:space="preserve">Documentazione di accompagnamento e verifiche della Direzione dei Lavori </w:t>
      </w:r>
    </w:p>
    <w:p w:rsidR="00F252A3" w:rsidRPr="00484DB6" w:rsidRDefault="00F252A3" w:rsidP="00F252A3">
      <w:pPr>
        <w:ind w:firstLine="284"/>
        <w:rPr>
          <w:rFonts w:cs="Arial"/>
          <w:sz w:val="20"/>
        </w:rPr>
      </w:pPr>
      <w:r w:rsidRPr="00484DB6">
        <w:rPr>
          <w:rFonts w:cs="Arial"/>
          <w:sz w:val="20"/>
        </w:rPr>
        <w:lastRenderedPageBreak/>
        <w:t xml:space="preserve">Tutti i prodotti forniti in cantiere dopo l’intervento di un centro di trasformazione devono essere accompagnati da idonea documentazione, che identifichi in modo inequivocabile il centro di trasformazione stesso e che consenta la completa tracciabilità del prodotto. In particolare, ogni fornitura in cantiere di elementi </w:t>
      </w:r>
      <w:proofErr w:type="spellStart"/>
      <w:r w:rsidRPr="00484DB6">
        <w:rPr>
          <w:rFonts w:cs="Arial"/>
          <w:sz w:val="20"/>
        </w:rPr>
        <w:t>presaldati</w:t>
      </w:r>
      <w:proofErr w:type="spellEnd"/>
      <w:r w:rsidRPr="00484DB6">
        <w:rPr>
          <w:rFonts w:cs="Arial"/>
          <w:sz w:val="20"/>
        </w:rPr>
        <w:t xml:space="preserve">, </w:t>
      </w:r>
      <w:proofErr w:type="spellStart"/>
      <w:r w:rsidRPr="00484DB6">
        <w:rPr>
          <w:rFonts w:cs="Arial"/>
          <w:sz w:val="20"/>
        </w:rPr>
        <w:t>presagomati</w:t>
      </w:r>
      <w:proofErr w:type="spellEnd"/>
      <w:r w:rsidRPr="00484DB6">
        <w:rPr>
          <w:rFonts w:cs="Arial"/>
          <w:sz w:val="20"/>
        </w:rPr>
        <w:t xml:space="preserve"> o </w:t>
      </w:r>
      <w:proofErr w:type="spellStart"/>
      <w:r w:rsidRPr="00484DB6">
        <w:rPr>
          <w:rFonts w:cs="Arial"/>
          <w:sz w:val="20"/>
        </w:rPr>
        <w:t>preassemblati</w:t>
      </w:r>
      <w:proofErr w:type="spellEnd"/>
      <w:r w:rsidRPr="00484DB6">
        <w:rPr>
          <w:rFonts w:cs="Arial"/>
          <w:sz w:val="20"/>
        </w:rPr>
        <w:t xml:space="preserve"> deve essere accompagnata:</w:t>
      </w:r>
    </w:p>
    <w:p w:rsidR="00F252A3" w:rsidRPr="00484DB6" w:rsidRDefault="00F252A3" w:rsidP="00F252A3">
      <w:pPr>
        <w:numPr>
          <w:ilvl w:val="1"/>
          <w:numId w:val="7"/>
        </w:numPr>
        <w:autoSpaceDE w:val="0"/>
        <w:autoSpaceDN w:val="0"/>
        <w:adjustRightInd w:val="0"/>
        <w:ind w:left="850" w:hanging="425"/>
        <w:jc w:val="left"/>
        <w:rPr>
          <w:rFonts w:cs="Arial"/>
          <w:sz w:val="20"/>
        </w:rPr>
      </w:pPr>
      <w:r w:rsidRPr="00484DB6">
        <w:rPr>
          <w:rFonts w:cs="Arial"/>
          <w:sz w:val="20"/>
        </w:rPr>
        <w:t>da dichiarazione, su documento di trasporto, degli estremi dell’Attestato di “Denuncia dell’attività del centro di trasformazione”, rilasciato dal Servizio Tecnico Centrale, recante il logo o il marchio del centro di trasformazione;</w:t>
      </w:r>
    </w:p>
    <w:p w:rsidR="00F252A3" w:rsidRPr="00484DB6" w:rsidRDefault="00F252A3" w:rsidP="00F252A3">
      <w:pPr>
        <w:numPr>
          <w:ilvl w:val="1"/>
          <w:numId w:val="7"/>
        </w:numPr>
        <w:autoSpaceDE w:val="0"/>
        <w:autoSpaceDN w:val="0"/>
        <w:adjustRightInd w:val="0"/>
        <w:ind w:left="850" w:hanging="425"/>
        <w:jc w:val="left"/>
        <w:rPr>
          <w:rFonts w:cs="Arial"/>
          <w:sz w:val="20"/>
        </w:rPr>
      </w:pPr>
      <w:r w:rsidRPr="00484DB6">
        <w:rPr>
          <w:rFonts w:cs="Arial"/>
          <w:sz w:val="20"/>
        </w:rPr>
        <w:t>dall’attestazione inerente l’esecuzione delle prove di controllo interno di cui al D.M. 17 gennaio 2018, fatte eseguire dal Direttore Tecnico del centro di trasformazione, con l’indicazione dei giorni nei quali la fornitura è stata lavorata;</w:t>
      </w:r>
    </w:p>
    <w:p w:rsidR="00F252A3" w:rsidRPr="00484DB6" w:rsidRDefault="00F252A3" w:rsidP="00F252A3">
      <w:pPr>
        <w:numPr>
          <w:ilvl w:val="1"/>
          <w:numId w:val="7"/>
        </w:numPr>
        <w:autoSpaceDE w:val="0"/>
        <w:autoSpaceDN w:val="0"/>
        <w:adjustRightInd w:val="0"/>
        <w:ind w:left="850" w:hanging="425"/>
        <w:jc w:val="left"/>
        <w:rPr>
          <w:rFonts w:cs="Arial"/>
          <w:sz w:val="20"/>
        </w:rPr>
      </w:pPr>
      <w:r w:rsidRPr="00484DB6">
        <w:rPr>
          <w:rFonts w:cs="Arial"/>
          <w:sz w:val="20"/>
        </w:rPr>
        <w:t>da dichiarazione contenente i riferimenti alla documentazione fornita dal fabbricante ai sensi del punto 11.3.1.5 del D.M. 17 gennaio 2018 in relazione ai prodotti utilizzati nell’ambito della specifica fornitura. Copia della documentazione fornita dal fabbricante e citata nella dichiarazione del centro di trasformazione, è consegnata al Direttore dei Lavori se richiesta.</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p>
    <w:p w:rsidR="00F252A3" w:rsidRPr="00484DB6" w:rsidRDefault="00F252A3" w:rsidP="00F252A3">
      <w:pPr>
        <w:rPr>
          <w:rFonts w:cs="Arial"/>
          <w:b/>
          <w:sz w:val="20"/>
        </w:rPr>
      </w:pPr>
      <w:bookmarkStart w:id="15" w:name="636"/>
      <w:bookmarkEnd w:id="15"/>
      <w:r w:rsidRPr="00484DB6">
        <w:rPr>
          <w:rFonts w:cs="Arial"/>
          <w:b/>
          <w:sz w:val="20"/>
        </w:rPr>
        <w:t>2.6.4 Acciaio per usi strutturali</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Prescrizioni per gli acciai per usi strutturali</w:t>
      </w:r>
    </w:p>
    <w:p w:rsidR="00F252A3" w:rsidRPr="00484DB6" w:rsidRDefault="00F252A3" w:rsidP="00F252A3">
      <w:pPr>
        <w:ind w:firstLine="284"/>
        <w:rPr>
          <w:rFonts w:cs="Arial"/>
          <w:sz w:val="20"/>
        </w:rPr>
      </w:pPr>
      <w:r w:rsidRPr="00484DB6">
        <w:rPr>
          <w:rFonts w:cs="Arial"/>
          <w:sz w:val="20"/>
        </w:rPr>
        <w:t>L'acciaio, costituito da una lega ferro-carbonio, si distingue in funzione della percentuale di carbonio presente in peso; in particolare si suddividono in: acciai dolci (C=0,15%-0,25%), acciai semiduri, duri e durissimi (C&gt;0,75%).</w:t>
      </w:r>
    </w:p>
    <w:p w:rsidR="00F252A3" w:rsidRPr="00484DB6" w:rsidRDefault="00F252A3" w:rsidP="00F252A3">
      <w:pPr>
        <w:ind w:firstLine="284"/>
        <w:rPr>
          <w:rFonts w:cs="Arial"/>
          <w:sz w:val="20"/>
        </w:rPr>
      </w:pPr>
      <w:r w:rsidRPr="00484DB6">
        <w:rPr>
          <w:rFonts w:cs="Arial"/>
          <w:sz w:val="20"/>
        </w:rPr>
        <w:t xml:space="preserve">Gli acciai per usi strutturali, denominati anche </w:t>
      </w:r>
      <w:r w:rsidRPr="00484DB6">
        <w:rPr>
          <w:rFonts w:cs="Arial"/>
          <w:i/>
          <w:sz w:val="20"/>
        </w:rPr>
        <w:t>acciai da costruzione</w:t>
      </w:r>
      <w:r w:rsidRPr="00484DB6">
        <w:rPr>
          <w:rFonts w:cs="Arial"/>
          <w:sz w:val="20"/>
        </w:rPr>
        <w:t xml:space="preserve"> o </w:t>
      </w:r>
      <w:r w:rsidRPr="00484DB6">
        <w:rPr>
          <w:rFonts w:cs="Arial"/>
          <w:i/>
          <w:sz w:val="20"/>
        </w:rPr>
        <w:t>acciai da carpenteria</w:t>
      </w:r>
      <w:r w:rsidRPr="00484DB6">
        <w:rPr>
          <w:rFonts w:cs="Arial"/>
          <w:sz w:val="20"/>
        </w:rPr>
        <w:t xml:space="preserve"> hanno un tenore di carbonio indicativamente compreso tra 0,1% e 0,3%. Il carbonio infatti, pur elevando la resistenza, riduce sensibilmente la duttilità e la saldabilità del materiale; per tale motivo gli acciai da costruzione devono essere caratterizzati da un basso tenore di carbonio.</w:t>
      </w:r>
    </w:p>
    <w:p w:rsidR="00F252A3" w:rsidRPr="00484DB6" w:rsidRDefault="00F252A3" w:rsidP="00F252A3">
      <w:pPr>
        <w:ind w:firstLine="284"/>
        <w:rPr>
          <w:rFonts w:cs="Arial"/>
          <w:sz w:val="20"/>
        </w:rPr>
      </w:pPr>
      <w:r w:rsidRPr="00484DB6">
        <w:rPr>
          <w:rFonts w:cs="Arial"/>
          <w:sz w:val="20"/>
        </w:rPr>
        <w:t>I componenti dell'acciaio, comprensivi del ferro e del carbonio, non dovranno comunque superare i valori limite percentuali specificati nella normativa europea UNI EN 10025-5 (per i laminati).</w:t>
      </w:r>
    </w:p>
    <w:p w:rsidR="00F252A3" w:rsidRPr="00484DB6" w:rsidRDefault="00F252A3" w:rsidP="00F252A3">
      <w:pPr>
        <w:ind w:firstLine="284"/>
        <w:rPr>
          <w:rFonts w:cs="Arial"/>
          <w:sz w:val="20"/>
        </w:rPr>
      </w:pPr>
      <w:r w:rsidRPr="00484DB6">
        <w:rPr>
          <w:rFonts w:cs="Arial"/>
          <w:sz w:val="20"/>
        </w:rPr>
        <w:t xml:space="preserve">A tal proposito gli acciai vengono suddivisi in "legati" e "non legati", a seconda se l'acciaio considerato contiene tenori della composizione chimica che rientrano o meno nei limiti della UNI EN 10020 per i singoli elementi costituenti. </w:t>
      </w:r>
    </w:p>
    <w:p w:rsidR="00F252A3" w:rsidRPr="00484DB6" w:rsidRDefault="00F252A3" w:rsidP="00F252A3">
      <w:pPr>
        <w:ind w:firstLine="284"/>
        <w:rPr>
          <w:rFonts w:cs="Arial"/>
          <w:sz w:val="20"/>
        </w:rPr>
      </w:pPr>
      <w:r w:rsidRPr="00484DB6">
        <w:rPr>
          <w:rFonts w:cs="Arial"/>
          <w:sz w:val="20"/>
        </w:rPr>
        <w:t>Per la realizzazione di strutture metalliche e di strutture composte si dovranno in tutti i casi utilizzare acciai conformi alle norme armonizzate della serie UNI EN 10025 (per i laminati), UNI EN 10210 (per i tubi senza saldatura) e UNI EN 10219-1 (per i tubi saldati), e già recanti la Marcatura CE secondo norma UNI EN 1090-1.</w:t>
      </w:r>
    </w:p>
    <w:p w:rsidR="00F252A3" w:rsidRPr="00484DB6" w:rsidRDefault="00F252A3" w:rsidP="00F252A3">
      <w:pPr>
        <w:ind w:firstLine="284"/>
        <w:rPr>
          <w:rFonts w:cs="Arial"/>
          <w:sz w:val="20"/>
        </w:rPr>
      </w:pPr>
      <w:r w:rsidRPr="00484DB6">
        <w:rPr>
          <w:rFonts w:cs="Arial"/>
          <w:sz w:val="20"/>
        </w:rPr>
        <w:t>Solo per i prodotti per cui non sia applicabile la marcatura CE si rimanda a quanto specificato al punto B del punto 11.1 del D.M. 17 gennaio 2018 e si applica la procedura di cui ai punti 11.3.1.2 e 11.3.4.11.1 del citato decreto.</w:t>
      </w:r>
    </w:p>
    <w:p w:rsidR="00F252A3" w:rsidRPr="00484DB6" w:rsidRDefault="00F252A3" w:rsidP="00F252A3">
      <w:pPr>
        <w:ind w:firstLine="284"/>
        <w:rPr>
          <w:rFonts w:cs="Arial"/>
          <w:sz w:val="20"/>
        </w:rPr>
      </w:pPr>
      <w:r w:rsidRPr="00484DB6">
        <w:rPr>
          <w:rFonts w:cs="Arial"/>
          <w:sz w:val="20"/>
        </w:rPr>
        <w:t>Per le palancole metalliche e per i nastri zincati di spessore &lt;= 4 mm si farà riferimento rispettivamente alle UNI EN 10248-1 ed UNI EN 10346.</w:t>
      </w:r>
    </w:p>
    <w:p w:rsidR="00F252A3" w:rsidRPr="00484DB6" w:rsidRDefault="00F252A3" w:rsidP="00F252A3">
      <w:pPr>
        <w:ind w:firstLine="284"/>
        <w:rPr>
          <w:rFonts w:cs="Arial"/>
          <w:sz w:val="20"/>
        </w:rPr>
      </w:pPr>
      <w:r w:rsidRPr="00484DB6">
        <w:rPr>
          <w:rFonts w:cs="Arial"/>
          <w:sz w:val="20"/>
        </w:rPr>
        <w:t>Per l’identificazione e qualificazione di elementi strutturali in acciaio realizzati in serie nelle officine di produzione di carpenteria metallica e nelle officine di produzione di elementi strutturali, si applica quanto specificato al punto 11.1, caso A) del decreto, in conformità alla norma europea armonizzata UNI EN 1090-1.</w:t>
      </w:r>
    </w:p>
    <w:p w:rsidR="00F252A3" w:rsidRPr="00484DB6" w:rsidRDefault="00F252A3" w:rsidP="00F252A3">
      <w:pPr>
        <w:ind w:firstLine="284"/>
        <w:rPr>
          <w:rFonts w:cs="Arial"/>
          <w:sz w:val="20"/>
        </w:rPr>
      </w:pPr>
      <w:r w:rsidRPr="00484DB6">
        <w:rPr>
          <w:rFonts w:cs="Arial"/>
          <w:sz w:val="20"/>
        </w:rPr>
        <w:t>Per la dichiarazione delle prestazioni ed etichettatura si applicano i metodi previsti dalle norme europee armonizzate, ed in particolare:</w:t>
      </w:r>
    </w:p>
    <w:p w:rsidR="00F252A3" w:rsidRPr="00484DB6" w:rsidRDefault="00F252A3" w:rsidP="00F252A3">
      <w:pPr>
        <w:numPr>
          <w:ilvl w:val="0"/>
          <w:numId w:val="8"/>
        </w:numPr>
        <w:autoSpaceDE w:val="0"/>
        <w:autoSpaceDN w:val="0"/>
        <w:adjustRightInd w:val="0"/>
        <w:ind w:left="710" w:hanging="284"/>
        <w:jc w:val="left"/>
        <w:rPr>
          <w:rFonts w:cs="Arial"/>
          <w:sz w:val="20"/>
        </w:rPr>
      </w:pPr>
      <w:r w:rsidRPr="00484DB6">
        <w:rPr>
          <w:rFonts w:cs="Arial"/>
          <w:sz w:val="20"/>
        </w:rPr>
        <w:t>Dichiarazione delle caratteristiche geometriche e delle proprietà del materiale.</w:t>
      </w:r>
    </w:p>
    <w:p w:rsidR="00F252A3" w:rsidRPr="00484DB6" w:rsidRDefault="00F252A3" w:rsidP="00F252A3">
      <w:pPr>
        <w:numPr>
          <w:ilvl w:val="0"/>
          <w:numId w:val="8"/>
        </w:numPr>
        <w:autoSpaceDE w:val="0"/>
        <w:autoSpaceDN w:val="0"/>
        <w:adjustRightInd w:val="0"/>
        <w:ind w:left="710" w:hanging="284"/>
        <w:jc w:val="left"/>
        <w:rPr>
          <w:rFonts w:cs="Arial"/>
          <w:sz w:val="20"/>
        </w:rPr>
      </w:pPr>
      <w:r w:rsidRPr="00484DB6">
        <w:rPr>
          <w:rFonts w:cs="Arial"/>
          <w:sz w:val="20"/>
        </w:rPr>
        <w:t xml:space="preserve">Dichiarazione delle prestazioni dei componenti, da valutarsi applicando le vigenti Appendici Nazionali agli Eurocodici; </w:t>
      </w:r>
    </w:p>
    <w:p w:rsidR="00F252A3" w:rsidRPr="00484DB6" w:rsidRDefault="00F252A3" w:rsidP="00F252A3">
      <w:pPr>
        <w:numPr>
          <w:ilvl w:val="0"/>
          <w:numId w:val="8"/>
        </w:numPr>
        <w:autoSpaceDE w:val="0"/>
        <w:autoSpaceDN w:val="0"/>
        <w:adjustRightInd w:val="0"/>
        <w:ind w:left="710" w:hanging="284"/>
        <w:jc w:val="left"/>
        <w:rPr>
          <w:rFonts w:cs="Arial"/>
          <w:sz w:val="20"/>
        </w:rPr>
      </w:pPr>
      <w:r w:rsidRPr="00484DB6">
        <w:rPr>
          <w:rFonts w:cs="Arial"/>
          <w:sz w:val="20"/>
        </w:rPr>
        <w:t>Dichiarazione basata su una determinata specifica di progetto, per la quale si applicano le presenti norme tecniche.</w:t>
      </w:r>
    </w:p>
    <w:p w:rsidR="00F252A3" w:rsidRPr="00484DB6" w:rsidRDefault="00F252A3" w:rsidP="00F252A3">
      <w:pPr>
        <w:ind w:firstLine="284"/>
        <w:rPr>
          <w:rFonts w:cs="Arial"/>
          <w:sz w:val="20"/>
        </w:rPr>
      </w:pPr>
      <w:r w:rsidRPr="00484DB6">
        <w:rPr>
          <w:rFonts w:cs="Arial"/>
          <w:sz w:val="20"/>
        </w:rPr>
        <w:t>In ogni caso ai fini dell’accettazione e dell’impiego, tutti i componenti o sistemi strutturali devono rispondere ai requisiti della norma tecnica del D.M. 17 gennaio 2018; in particolare i materiali base devono essere qualificati all’origine ai sensi del punto 11.1 di detta norma.</w:t>
      </w:r>
    </w:p>
    <w:p w:rsidR="00F252A3" w:rsidRPr="00484DB6" w:rsidRDefault="00F252A3" w:rsidP="00F252A3">
      <w:pPr>
        <w:ind w:firstLine="284"/>
        <w:rPr>
          <w:rFonts w:cs="Arial"/>
          <w:sz w:val="20"/>
        </w:rPr>
      </w:pPr>
      <w:r w:rsidRPr="00484DB6">
        <w:rPr>
          <w:rFonts w:cs="Arial"/>
          <w:sz w:val="20"/>
        </w:rPr>
        <w:t>Per l’accertamento delle caratteristiche meccaniche indicate nel seguito, il prelievo dei saggi, la posizione nel pezzo da cui essi devono essere prelevati, la preparazione delle provette e le modalità di prova devono rispondere alle prescrizioni delle norme UNI EN ISO 377, UNI EN ISO 6892-1 e UNI EN ISO 148-1.</w:t>
      </w:r>
    </w:p>
    <w:p w:rsidR="00F252A3" w:rsidRPr="00484DB6" w:rsidRDefault="00F252A3" w:rsidP="00F252A3">
      <w:pPr>
        <w:ind w:firstLine="284"/>
        <w:rPr>
          <w:rFonts w:cs="Arial"/>
          <w:sz w:val="20"/>
        </w:rPr>
      </w:pPr>
      <w:r w:rsidRPr="00484DB6">
        <w:rPr>
          <w:rFonts w:cs="Arial"/>
          <w:sz w:val="20"/>
        </w:rPr>
        <w:t>Per le tipologie dei manufatti realizzati mediante giunzioni saldate, il costruttore dovrà essere certificato secondo la norma UNI EN ISO 3834 (parte 2 e 4).</w:t>
      </w:r>
    </w:p>
    <w:p w:rsidR="00F252A3" w:rsidRPr="00484DB6" w:rsidRDefault="00F252A3" w:rsidP="00F252A3">
      <w:pPr>
        <w:ind w:firstLine="284"/>
        <w:rPr>
          <w:rFonts w:cs="Arial"/>
          <w:sz w:val="20"/>
        </w:rPr>
      </w:pPr>
      <w:r w:rsidRPr="00484DB6">
        <w:rPr>
          <w:rFonts w:cs="Arial"/>
          <w:sz w:val="20"/>
        </w:rPr>
        <w:lastRenderedPageBreak/>
        <w:t xml:space="preserve">In sede di progettazione, per gli acciai di cui alle norme europee UNI EN 10025, UNI EN 10210 ed UNI EN 10219-1, si possono assumere nei calcoli i valori nominali delle tensioni caratteristiche di snervamento </w:t>
      </w:r>
      <w:proofErr w:type="spellStart"/>
      <w:r w:rsidRPr="00484DB6">
        <w:rPr>
          <w:rFonts w:cs="Arial"/>
          <w:sz w:val="20"/>
        </w:rPr>
        <w:t>f</w:t>
      </w:r>
      <w:r w:rsidRPr="00484DB6">
        <w:rPr>
          <w:rFonts w:cs="Arial"/>
          <w:sz w:val="20"/>
          <w:vertAlign w:val="subscript"/>
        </w:rPr>
        <w:t>yk</w:t>
      </w:r>
      <w:proofErr w:type="spellEnd"/>
      <w:r w:rsidRPr="00484DB6">
        <w:rPr>
          <w:rFonts w:cs="Arial"/>
          <w:sz w:val="20"/>
        </w:rPr>
        <w:t xml:space="preserve"> e di rottura </w:t>
      </w:r>
      <w:proofErr w:type="spellStart"/>
      <w:r w:rsidRPr="00484DB6">
        <w:rPr>
          <w:rFonts w:cs="Arial"/>
          <w:sz w:val="20"/>
        </w:rPr>
        <w:t>ftk</w:t>
      </w:r>
      <w:proofErr w:type="spellEnd"/>
      <w:r w:rsidRPr="00484DB6">
        <w:rPr>
          <w:rFonts w:cs="Arial"/>
          <w:sz w:val="20"/>
        </w:rPr>
        <w:t xml:space="preserve"> riportati nelle tabelle seguenti.</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Laminati a caldo con profili a sezione aperta</w:t>
      </w:r>
    </w:p>
    <w:tbl>
      <w:tblPr>
        <w:tblW w:w="0" w:type="auto"/>
        <w:tblInd w:w="65" w:type="dxa"/>
        <w:tblLayout w:type="fixed"/>
        <w:tblCellMar>
          <w:left w:w="65" w:type="dxa"/>
          <w:right w:w="65" w:type="dxa"/>
        </w:tblCellMar>
        <w:tblLook w:val="0000"/>
      </w:tblPr>
      <w:tblGrid>
        <w:gridCol w:w="1927"/>
        <w:gridCol w:w="1927"/>
        <w:gridCol w:w="1927"/>
        <w:gridCol w:w="1927"/>
        <w:gridCol w:w="1927"/>
      </w:tblGrid>
      <w:tr w:rsidR="00F252A3" w:rsidRPr="00484DB6" w:rsidTr="00B019FF">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Norme e qualità degli acciai</w:t>
            </w:r>
          </w:p>
        </w:tc>
        <w:tc>
          <w:tcPr>
            <w:tcW w:w="7708" w:type="dxa"/>
            <w:gridSpan w:val="4"/>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Spessore nominale dell'elemento</w:t>
            </w:r>
          </w:p>
        </w:tc>
      </w:tr>
      <w:tr w:rsidR="00F252A3" w:rsidRPr="00484DB6" w:rsidTr="00B019FF">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ind w:firstLine="284"/>
              <w:rPr>
                <w:rFonts w:cs="Arial"/>
                <w:sz w:val="20"/>
              </w:rPr>
            </w:pPr>
          </w:p>
        </w:tc>
        <w:tc>
          <w:tcPr>
            <w:tcW w:w="3854" w:type="dxa"/>
            <w:gridSpan w:val="2"/>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r w:rsidRPr="00484DB6">
              <w:rPr>
                <w:rFonts w:cs="Arial"/>
                <w:sz w:val="20"/>
              </w:rPr>
              <w:t>t ≤ 40 mm</w:t>
            </w:r>
          </w:p>
        </w:tc>
        <w:tc>
          <w:tcPr>
            <w:tcW w:w="3854" w:type="dxa"/>
            <w:gridSpan w:val="2"/>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r w:rsidRPr="00484DB6">
              <w:rPr>
                <w:rFonts w:cs="Arial"/>
                <w:sz w:val="20"/>
              </w:rPr>
              <w:t xml:space="preserve">40 mm </w:t>
            </w:r>
            <w:r w:rsidRPr="00484DB6">
              <w:rPr>
                <w:rFonts w:cs="Arial"/>
                <w:b/>
                <w:sz w:val="20"/>
              </w:rPr>
              <w:t xml:space="preserve">&lt; </w:t>
            </w:r>
            <w:r w:rsidRPr="00484DB6">
              <w:rPr>
                <w:rFonts w:cs="Arial"/>
                <w:sz w:val="20"/>
              </w:rPr>
              <w:t>t ≤ 80 mm</w:t>
            </w:r>
          </w:p>
        </w:tc>
      </w:tr>
      <w:tr w:rsidR="00F252A3" w:rsidRPr="00484DB6" w:rsidTr="00B019FF">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ind w:firstLine="284"/>
              <w:rPr>
                <w:rFonts w:cs="Arial"/>
                <w:sz w:val="20"/>
              </w:rPr>
            </w:pP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yk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tk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yk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tk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r>
      <w:tr w:rsidR="00F252A3" w:rsidRPr="00484DB6" w:rsidTr="00B019FF">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rPr>
            </w:pPr>
            <w:r w:rsidRPr="00484DB6">
              <w:rPr>
                <w:rFonts w:cs="Arial"/>
                <w:b/>
                <w:sz w:val="20"/>
              </w:rPr>
              <w:t>UNI EN 10025-2</w:t>
            </w:r>
          </w:p>
          <w:p w:rsidR="00F252A3" w:rsidRPr="00484DB6" w:rsidRDefault="00F252A3" w:rsidP="00B019FF">
            <w:pPr>
              <w:ind w:firstLine="284"/>
              <w:rPr>
                <w:rFonts w:cs="Arial"/>
                <w:sz w:val="20"/>
              </w:rPr>
            </w:pPr>
            <w:r w:rsidRPr="00484DB6">
              <w:rPr>
                <w:rFonts w:cs="Arial"/>
                <w:sz w:val="20"/>
              </w:rPr>
              <w:t>S 235</w:t>
            </w:r>
          </w:p>
          <w:p w:rsidR="00F252A3" w:rsidRPr="00484DB6" w:rsidRDefault="00F252A3" w:rsidP="00B019FF">
            <w:pPr>
              <w:ind w:firstLine="284"/>
              <w:rPr>
                <w:rFonts w:cs="Arial"/>
                <w:sz w:val="20"/>
              </w:rPr>
            </w:pPr>
            <w:r w:rsidRPr="00484DB6">
              <w:rPr>
                <w:rFonts w:cs="Arial"/>
                <w:sz w:val="20"/>
              </w:rPr>
              <w:t>S 275</w:t>
            </w:r>
          </w:p>
          <w:p w:rsidR="00F252A3" w:rsidRPr="00484DB6" w:rsidRDefault="00F252A3" w:rsidP="00B019FF">
            <w:pPr>
              <w:ind w:firstLine="284"/>
              <w:rPr>
                <w:rFonts w:cs="Arial"/>
                <w:sz w:val="20"/>
              </w:rPr>
            </w:pPr>
            <w:r w:rsidRPr="00484DB6">
              <w:rPr>
                <w:rFonts w:cs="Arial"/>
                <w:sz w:val="20"/>
              </w:rPr>
              <w:t>S 355</w:t>
            </w:r>
          </w:p>
          <w:p w:rsidR="00F252A3" w:rsidRPr="00484DB6" w:rsidRDefault="00F252A3" w:rsidP="00B019FF">
            <w:pPr>
              <w:ind w:firstLine="284"/>
              <w:rPr>
                <w:rFonts w:cs="Arial"/>
                <w:sz w:val="20"/>
              </w:rPr>
            </w:pPr>
            <w:r w:rsidRPr="00484DB6">
              <w:rPr>
                <w:rFonts w:cs="Arial"/>
                <w:sz w:val="20"/>
              </w:rPr>
              <w:t>S 450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235</w:t>
            </w: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r w:rsidRPr="00484DB6">
              <w:rPr>
                <w:rFonts w:cs="Arial"/>
                <w:sz w:val="20"/>
              </w:rPr>
              <w:t>440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430</w:t>
            </w:r>
          </w:p>
          <w:p w:rsidR="00F252A3" w:rsidRPr="00484DB6" w:rsidRDefault="00F252A3" w:rsidP="00B019FF">
            <w:pPr>
              <w:jc w:val="center"/>
              <w:rPr>
                <w:rFonts w:cs="Arial"/>
                <w:sz w:val="20"/>
              </w:rPr>
            </w:pPr>
            <w:r w:rsidRPr="00484DB6">
              <w:rPr>
                <w:rFonts w:cs="Arial"/>
                <w:sz w:val="20"/>
              </w:rPr>
              <w:t>510</w:t>
            </w:r>
          </w:p>
          <w:p w:rsidR="00F252A3" w:rsidRPr="00484DB6" w:rsidRDefault="00F252A3" w:rsidP="00B019FF">
            <w:pPr>
              <w:jc w:val="center"/>
              <w:rPr>
                <w:rFonts w:cs="Arial"/>
                <w:sz w:val="20"/>
              </w:rPr>
            </w:pPr>
            <w:r w:rsidRPr="00484DB6">
              <w:rPr>
                <w:rFonts w:cs="Arial"/>
                <w:sz w:val="20"/>
              </w:rPr>
              <w:t>550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215</w:t>
            </w:r>
          </w:p>
          <w:p w:rsidR="00F252A3" w:rsidRPr="00484DB6" w:rsidRDefault="00F252A3" w:rsidP="00B019FF">
            <w:pPr>
              <w:jc w:val="center"/>
              <w:rPr>
                <w:rFonts w:cs="Arial"/>
                <w:sz w:val="20"/>
              </w:rPr>
            </w:pPr>
            <w:r w:rsidRPr="00484DB6">
              <w:rPr>
                <w:rFonts w:cs="Arial"/>
                <w:sz w:val="20"/>
              </w:rPr>
              <w:t>255</w:t>
            </w:r>
          </w:p>
          <w:p w:rsidR="00F252A3" w:rsidRPr="00484DB6" w:rsidRDefault="00F252A3" w:rsidP="00B019FF">
            <w:pPr>
              <w:jc w:val="center"/>
              <w:rPr>
                <w:rFonts w:cs="Arial"/>
                <w:sz w:val="20"/>
              </w:rPr>
            </w:pPr>
            <w:r w:rsidRPr="00484DB6">
              <w:rPr>
                <w:rFonts w:cs="Arial"/>
                <w:sz w:val="20"/>
              </w:rPr>
              <w:t>335</w:t>
            </w:r>
          </w:p>
          <w:p w:rsidR="00F252A3" w:rsidRPr="00484DB6" w:rsidRDefault="00F252A3" w:rsidP="00B019FF">
            <w:pPr>
              <w:jc w:val="center"/>
              <w:rPr>
                <w:rFonts w:cs="Arial"/>
                <w:sz w:val="20"/>
              </w:rPr>
            </w:pPr>
            <w:r w:rsidRPr="00484DB6">
              <w:rPr>
                <w:rFonts w:cs="Arial"/>
                <w:sz w:val="20"/>
              </w:rPr>
              <w:t>420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410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r w:rsidRPr="00484DB6">
              <w:rPr>
                <w:rFonts w:cs="Arial"/>
                <w:sz w:val="20"/>
              </w:rPr>
              <w:t>550</w:t>
            </w:r>
          </w:p>
        </w:tc>
      </w:tr>
      <w:tr w:rsidR="00F252A3" w:rsidRPr="00484DB6" w:rsidTr="00B019FF">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lang w:val="en-US"/>
              </w:rPr>
            </w:pPr>
            <w:r w:rsidRPr="00484DB6">
              <w:rPr>
                <w:rFonts w:cs="Arial"/>
                <w:b/>
                <w:sz w:val="20"/>
                <w:lang w:val="en-US"/>
              </w:rPr>
              <w:t>UNI EN 10025-3</w:t>
            </w:r>
          </w:p>
          <w:p w:rsidR="00F252A3" w:rsidRPr="00484DB6" w:rsidRDefault="00F252A3" w:rsidP="00B019FF">
            <w:pPr>
              <w:ind w:firstLine="284"/>
              <w:rPr>
                <w:rFonts w:cs="Arial"/>
                <w:sz w:val="20"/>
                <w:lang w:val="en-US"/>
              </w:rPr>
            </w:pPr>
            <w:r w:rsidRPr="00484DB6">
              <w:rPr>
                <w:rFonts w:cs="Arial"/>
                <w:sz w:val="20"/>
                <w:lang w:val="en-US"/>
              </w:rPr>
              <w:t>S 275 N/NL</w:t>
            </w:r>
          </w:p>
          <w:p w:rsidR="00F252A3" w:rsidRPr="00484DB6" w:rsidRDefault="00F252A3" w:rsidP="00B019FF">
            <w:pPr>
              <w:ind w:firstLine="284"/>
              <w:rPr>
                <w:rFonts w:cs="Arial"/>
                <w:sz w:val="20"/>
                <w:lang w:val="en-US"/>
              </w:rPr>
            </w:pPr>
            <w:r w:rsidRPr="00484DB6">
              <w:rPr>
                <w:rFonts w:cs="Arial"/>
                <w:sz w:val="20"/>
                <w:lang w:val="en-US"/>
              </w:rPr>
              <w:t>S 355 N/NL</w:t>
            </w:r>
          </w:p>
          <w:p w:rsidR="00F252A3" w:rsidRPr="00484DB6" w:rsidRDefault="00F252A3" w:rsidP="00B019FF">
            <w:pPr>
              <w:ind w:firstLine="284"/>
              <w:rPr>
                <w:rFonts w:cs="Arial"/>
                <w:sz w:val="20"/>
              </w:rPr>
            </w:pPr>
            <w:r w:rsidRPr="00484DB6">
              <w:rPr>
                <w:rFonts w:cs="Arial"/>
                <w:sz w:val="20"/>
              </w:rPr>
              <w:t>S 420 N/NL</w:t>
            </w:r>
          </w:p>
          <w:p w:rsidR="00F252A3" w:rsidRPr="00484DB6" w:rsidRDefault="00F252A3" w:rsidP="00B019FF">
            <w:pPr>
              <w:ind w:firstLine="284"/>
              <w:rPr>
                <w:rFonts w:cs="Arial"/>
                <w:sz w:val="20"/>
              </w:rPr>
            </w:pPr>
            <w:r w:rsidRPr="00484DB6">
              <w:rPr>
                <w:rFonts w:cs="Arial"/>
                <w:sz w:val="20"/>
              </w:rPr>
              <w:t>S 460 N/NL</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r w:rsidRPr="00484DB6">
              <w:rPr>
                <w:rFonts w:cs="Arial"/>
                <w:sz w:val="20"/>
              </w:rPr>
              <w:t>420</w:t>
            </w:r>
          </w:p>
          <w:p w:rsidR="00F252A3" w:rsidRPr="00484DB6" w:rsidRDefault="00F252A3" w:rsidP="00B019FF">
            <w:pPr>
              <w:jc w:val="center"/>
              <w:rPr>
                <w:rFonts w:cs="Arial"/>
                <w:sz w:val="20"/>
              </w:rPr>
            </w:pPr>
            <w:r w:rsidRPr="00484DB6">
              <w:rPr>
                <w:rFonts w:cs="Arial"/>
                <w:sz w:val="20"/>
              </w:rPr>
              <w:t>460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390</w:t>
            </w:r>
          </w:p>
          <w:p w:rsidR="00F252A3" w:rsidRPr="00484DB6" w:rsidRDefault="00F252A3" w:rsidP="00B019FF">
            <w:pPr>
              <w:jc w:val="center"/>
              <w:rPr>
                <w:rFonts w:cs="Arial"/>
                <w:sz w:val="20"/>
              </w:rPr>
            </w:pPr>
            <w:r w:rsidRPr="00484DB6">
              <w:rPr>
                <w:rFonts w:cs="Arial"/>
                <w:sz w:val="20"/>
              </w:rPr>
              <w:t>490</w:t>
            </w:r>
          </w:p>
          <w:p w:rsidR="00F252A3" w:rsidRPr="00484DB6" w:rsidRDefault="00F252A3" w:rsidP="00B019FF">
            <w:pPr>
              <w:jc w:val="center"/>
              <w:rPr>
                <w:rFonts w:cs="Arial"/>
                <w:sz w:val="20"/>
              </w:rPr>
            </w:pPr>
            <w:r w:rsidRPr="00484DB6">
              <w:rPr>
                <w:rFonts w:cs="Arial"/>
                <w:sz w:val="20"/>
              </w:rPr>
              <w:t>520</w:t>
            </w:r>
          </w:p>
          <w:p w:rsidR="00F252A3" w:rsidRPr="00484DB6" w:rsidRDefault="00F252A3" w:rsidP="00B019FF">
            <w:pPr>
              <w:jc w:val="center"/>
              <w:rPr>
                <w:rFonts w:cs="Arial"/>
                <w:sz w:val="20"/>
              </w:rPr>
            </w:pPr>
            <w:r w:rsidRPr="00484DB6">
              <w:rPr>
                <w:rFonts w:cs="Arial"/>
                <w:sz w:val="20"/>
              </w:rPr>
              <w:t>540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255</w:t>
            </w:r>
          </w:p>
          <w:p w:rsidR="00F252A3" w:rsidRPr="00484DB6" w:rsidRDefault="00F252A3" w:rsidP="00B019FF">
            <w:pPr>
              <w:jc w:val="center"/>
              <w:rPr>
                <w:rFonts w:cs="Arial"/>
                <w:sz w:val="20"/>
              </w:rPr>
            </w:pPr>
            <w:r w:rsidRPr="00484DB6">
              <w:rPr>
                <w:rFonts w:cs="Arial"/>
                <w:sz w:val="20"/>
              </w:rPr>
              <w:t>335</w:t>
            </w:r>
          </w:p>
          <w:p w:rsidR="00F252A3" w:rsidRPr="00484DB6" w:rsidRDefault="00F252A3" w:rsidP="00B019FF">
            <w:pPr>
              <w:jc w:val="center"/>
              <w:rPr>
                <w:rFonts w:cs="Arial"/>
                <w:sz w:val="20"/>
              </w:rPr>
            </w:pPr>
            <w:r w:rsidRPr="00484DB6">
              <w:rPr>
                <w:rFonts w:cs="Arial"/>
                <w:sz w:val="20"/>
              </w:rPr>
              <w:t>390</w:t>
            </w:r>
          </w:p>
          <w:p w:rsidR="00F252A3" w:rsidRPr="00484DB6" w:rsidRDefault="00F252A3" w:rsidP="00B019FF">
            <w:pPr>
              <w:jc w:val="center"/>
              <w:rPr>
                <w:rFonts w:cs="Arial"/>
                <w:sz w:val="20"/>
              </w:rPr>
            </w:pPr>
            <w:r w:rsidRPr="00484DB6">
              <w:rPr>
                <w:rFonts w:cs="Arial"/>
                <w:sz w:val="20"/>
              </w:rPr>
              <w:t>430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370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r w:rsidRPr="00484DB6">
              <w:rPr>
                <w:rFonts w:cs="Arial"/>
                <w:sz w:val="20"/>
              </w:rPr>
              <w:t>520</w:t>
            </w:r>
          </w:p>
          <w:p w:rsidR="00F252A3" w:rsidRPr="00484DB6" w:rsidRDefault="00F252A3" w:rsidP="00B019FF">
            <w:pPr>
              <w:jc w:val="center"/>
              <w:rPr>
                <w:rFonts w:cs="Arial"/>
                <w:sz w:val="20"/>
              </w:rPr>
            </w:pPr>
            <w:r w:rsidRPr="00484DB6">
              <w:rPr>
                <w:rFonts w:cs="Arial"/>
                <w:sz w:val="20"/>
              </w:rPr>
              <w:t>540</w:t>
            </w:r>
          </w:p>
        </w:tc>
      </w:tr>
      <w:tr w:rsidR="00F252A3" w:rsidRPr="00484DB6" w:rsidTr="00B019FF">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lang w:val="en-US"/>
              </w:rPr>
            </w:pPr>
            <w:r w:rsidRPr="00484DB6">
              <w:rPr>
                <w:rFonts w:cs="Arial"/>
                <w:b/>
                <w:sz w:val="20"/>
                <w:lang w:val="en-US"/>
              </w:rPr>
              <w:t>UNI EN 10025-4</w:t>
            </w:r>
          </w:p>
          <w:p w:rsidR="00F252A3" w:rsidRPr="00484DB6" w:rsidRDefault="00F252A3" w:rsidP="00B019FF">
            <w:pPr>
              <w:ind w:firstLine="284"/>
              <w:rPr>
                <w:rFonts w:cs="Arial"/>
                <w:sz w:val="20"/>
                <w:lang w:val="en-US"/>
              </w:rPr>
            </w:pPr>
            <w:r w:rsidRPr="00484DB6">
              <w:rPr>
                <w:rFonts w:cs="Arial"/>
                <w:sz w:val="20"/>
                <w:lang w:val="en-US"/>
              </w:rPr>
              <w:t>S 275 M/ML</w:t>
            </w:r>
          </w:p>
          <w:p w:rsidR="00F252A3" w:rsidRPr="00484DB6" w:rsidRDefault="00F252A3" w:rsidP="00B019FF">
            <w:pPr>
              <w:ind w:firstLine="284"/>
              <w:rPr>
                <w:rFonts w:cs="Arial"/>
                <w:sz w:val="20"/>
                <w:lang w:val="en-US"/>
              </w:rPr>
            </w:pPr>
            <w:r w:rsidRPr="00484DB6">
              <w:rPr>
                <w:rFonts w:cs="Arial"/>
                <w:sz w:val="20"/>
                <w:lang w:val="en-US"/>
              </w:rPr>
              <w:t>S 355 M/ML</w:t>
            </w:r>
          </w:p>
          <w:p w:rsidR="00F252A3" w:rsidRPr="00484DB6" w:rsidRDefault="00F252A3" w:rsidP="00B019FF">
            <w:pPr>
              <w:ind w:firstLine="284"/>
              <w:rPr>
                <w:rFonts w:cs="Arial"/>
                <w:sz w:val="20"/>
                <w:lang w:val="en-US"/>
              </w:rPr>
            </w:pPr>
            <w:r w:rsidRPr="00484DB6">
              <w:rPr>
                <w:rFonts w:cs="Arial"/>
                <w:sz w:val="20"/>
                <w:lang w:val="en-US"/>
              </w:rPr>
              <w:t>S 420 M/ML</w:t>
            </w:r>
          </w:p>
          <w:p w:rsidR="00F252A3" w:rsidRPr="00484DB6" w:rsidRDefault="00F252A3" w:rsidP="00B019FF">
            <w:pPr>
              <w:ind w:firstLine="284"/>
              <w:rPr>
                <w:rFonts w:cs="Arial"/>
                <w:sz w:val="20"/>
                <w:lang w:val="en-US"/>
              </w:rPr>
            </w:pPr>
            <w:r w:rsidRPr="00484DB6">
              <w:rPr>
                <w:rFonts w:cs="Arial"/>
                <w:sz w:val="20"/>
                <w:lang w:val="en-US"/>
              </w:rPr>
              <w:t>S 460 M/ML</w:t>
            </w:r>
          </w:p>
          <w:p w:rsidR="00F252A3" w:rsidRPr="00484DB6" w:rsidRDefault="00F252A3" w:rsidP="00B019FF">
            <w:pPr>
              <w:ind w:firstLine="284"/>
              <w:rPr>
                <w:rFonts w:cs="Arial"/>
                <w:sz w:val="20"/>
                <w:lang w:val="en-US"/>
              </w:rPr>
            </w:pPr>
            <w:r w:rsidRPr="00484DB6">
              <w:rPr>
                <w:rFonts w:cs="Arial"/>
                <w:sz w:val="20"/>
                <w:lang w:val="en-US"/>
              </w:rPr>
              <w:t>S 460 Q/QL/QL1</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lang w:val="en-US"/>
              </w:rPr>
            </w:pP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r w:rsidRPr="00484DB6">
              <w:rPr>
                <w:rFonts w:cs="Arial"/>
                <w:sz w:val="20"/>
              </w:rPr>
              <w:t>420</w:t>
            </w:r>
          </w:p>
          <w:p w:rsidR="00F252A3" w:rsidRPr="00484DB6" w:rsidRDefault="00F252A3" w:rsidP="00B019FF">
            <w:pPr>
              <w:jc w:val="center"/>
              <w:rPr>
                <w:rFonts w:cs="Arial"/>
                <w:sz w:val="20"/>
              </w:rPr>
            </w:pPr>
            <w:r w:rsidRPr="00484DB6">
              <w:rPr>
                <w:rFonts w:cs="Arial"/>
                <w:sz w:val="20"/>
              </w:rPr>
              <w:t>460</w:t>
            </w:r>
          </w:p>
          <w:p w:rsidR="00F252A3" w:rsidRPr="00484DB6" w:rsidRDefault="00F252A3" w:rsidP="00B019FF">
            <w:pPr>
              <w:jc w:val="center"/>
              <w:rPr>
                <w:rFonts w:cs="Arial"/>
                <w:sz w:val="20"/>
              </w:rPr>
            </w:pPr>
            <w:r w:rsidRPr="00484DB6">
              <w:rPr>
                <w:rFonts w:cs="Arial"/>
                <w:sz w:val="20"/>
              </w:rPr>
              <w:t>460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370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r w:rsidRPr="00484DB6">
              <w:rPr>
                <w:rFonts w:cs="Arial"/>
                <w:sz w:val="20"/>
              </w:rPr>
              <w:t>520</w:t>
            </w:r>
          </w:p>
          <w:p w:rsidR="00F252A3" w:rsidRPr="00484DB6" w:rsidRDefault="00F252A3" w:rsidP="00B019FF">
            <w:pPr>
              <w:jc w:val="center"/>
              <w:rPr>
                <w:rFonts w:cs="Arial"/>
                <w:sz w:val="20"/>
              </w:rPr>
            </w:pPr>
            <w:r w:rsidRPr="00484DB6">
              <w:rPr>
                <w:rFonts w:cs="Arial"/>
                <w:sz w:val="20"/>
              </w:rPr>
              <w:t>540</w:t>
            </w:r>
          </w:p>
          <w:p w:rsidR="00F252A3" w:rsidRPr="00484DB6" w:rsidRDefault="00F252A3" w:rsidP="00B019FF">
            <w:pPr>
              <w:jc w:val="center"/>
              <w:rPr>
                <w:rFonts w:cs="Arial"/>
                <w:sz w:val="20"/>
              </w:rPr>
            </w:pPr>
            <w:r w:rsidRPr="00484DB6">
              <w:rPr>
                <w:rFonts w:cs="Arial"/>
                <w:sz w:val="20"/>
              </w:rPr>
              <w:t>570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255</w:t>
            </w:r>
          </w:p>
          <w:p w:rsidR="00F252A3" w:rsidRPr="00484DB6" w:rsidRDefault="00F252A3" w:rsidP="00B019FF">
            <w:pPr>
              <w:jc w:val="center"/>
              <w:rPr>
                <w:rFonts w:cs="Arial"/>
                <w:sz w:val="20"/>
              </w:rPr>
            </w:pPr>
            <w:r w:rsidRPr="00484DB6">
              <w:rPr>
                <w:rFonts w:cs="Arial"/>
                <w:sz w:val="20"/>
              </w:rPr>
              <w:t>335</w:t>
            </w:r>
          </w:p>
          <w:p w:rsidR="00F252A3" w:rsidRPr="00484DB6" w:rsidRDefault="00F252A3" w:rsidP="00B019FF">
            <w:pPr>
              <w:jc w:val="center"/>
              <w:rPr>
                <w:rFonts w:cs="Arial"/>
                <w:sz w:val="20"/>
              </w:rPr>
            </w:pPr>
            <w:r w:rsidRPr="00484DB6">
              <w:rPr>
                <w:rFonts w:cs="Arial"/>
                <w:sz w:val="20"/>
              </w:rPr>
              <w:t>390</w:t>
            </w:r>
          </w:p>
          <w:p w:rsidR="00F252A3" w:rsidRPr="00484DB6" w:rsidRDefault="00F252A3" w:rsidP="00B019FF">
            <w:pPr>
              <w:jc w:val="center"/>
              <w:rPr>
                <w:rFonts w:cs="Arial"/>
                <w:sz w:val="20"/>
              </w:rPr>
            </w:pPr>
            <w:r w:rsidRPr="00484DB6">
              <w:rPr>
                <w:rFonts w:cs="Arial"/>
                <w:sz w:val="20"/>
              </w:rPr>
              <w:t>430</w:t>
            </w:r>
          </w:p>
          <w:p w:rsidR="00F252A3" w:rsidRPr="00484DB6" w:rsidRDefault="00F252A3" w:rsidP="00B019FF">
            <w:pPr>
              <w:jc w:val="center"/>
              <w:rPr>
                <w:rFonts w:cs="Arial"/>
                <w:sz w:val="20"/>
              </w:rPr>
            </w:pPr>
            <w:r w:rsidRPr="00484DB6">
              <w:rPr>
                <w:rFonts w:cs="Arial"/>
                <w:sz w:val="20"/>
              </w:rPr>
              <w:t>440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450</w:t>
            </w:r>
          </w:p>
          <w:p w:rsidR="00F252A3" w:rsidRPr="00484DB6" w:rsidRDefault="00F252A3" w:rsidP="00B019FF">
            <w:pPr>
              <w:jc w:val="center"/>
              <w:rPr>
                <w:rFonts w:cs="Arial"/>
                <w:sz w:val="20"/>
              </w:rPr>
            </w:pPr>
            <w:r w:rsidRPr="00484DB6">
              <w:rPr>
                <w:rFonts w:cs="Arial"/>
                <w:sz w:val="20"/>
              </w:rPr>
              <w:t>500</w:t>
            </w:r>
          </w:p>
          <w:p w:rsidR="00F252A3" w:rsidRPr="00484DB6" w:rsidRDefault="00F252A3" w:rsidP="00B019FF">
            <w:pPr>
              <w:jc w:val="center"/>
              <w:rPr>
                <w:rFonts w:cs="Arial"/>
                <w:sz w:val="20"/>
              </w:rPr>
            </w:pPr>
            <w:r w:rsidRPr="00484DB6">
              <w:rPr>
                <w:rFonts w:cs="Arial"/>
                <w:sz w:val="20"/>
              </w:rPr>
              <w:t>530</w:t>
            </w:r>
          </w:p>
          <w:p w:rsidR="00F252A3" w:rsidRPr="00484DB6" w:rsidRDefault="00F252A3" w:rsidP="00B019FF">
            <w:pPr>
              <w:jc w:val="center"/>
              <w:rPr>
                <w:rFonts w:cs="Arial"/>
                <w:sz w:val="20"/>
              </w:rPr>
            </w:pPr>
            <w:r w:rsidRPr="00484DB6">
              <w:rPr>
                <w:rFonts w:cs="Arial"/>
                <w:sz w:val="20"/>
              </w:rPr>
              <w:t>580</w:t>
            </w:r>
          </w:p>
        </w:tc>
      </w:tr>
      <w:tr w:rsidR="00F252A3" w:rsidRPr="00484DB6" w:rsidTr="00B019FF">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rPr>
            </w:pPr>
            <w:r w:rsidRPr="00484DB6">
              <w:rPr>
                <w:rFonts w:cs="Arial"/>
                <w:b/>
                <w:sz w:val="20"/>
              </w:rPr>
              <w:t>UNI EN 10025-5</w:t>
            </w:r>
          </w:p>
          <w:p w:rsidR="00F252A3" w:rsidRPr="00484DB6" w:rsidRDefault="00F252A3" w:rsidP="00B019FF">
            <w:pPr>
              <w:ind w:firstLine="284"/>
              <w:rPr>
                <w:rFonts w:cs="Arial"/>
                <w:sz w:val="20"/>
              </w:rPr>
            </w:pPr>
            <w:r w:rsidRPr="00484DB6">
              <w:rPr>
                <w:rFonts w:cs="Arial"/>
                <w:sz w:val="20"/>
              </w:rPr>
              <w:t>S 235 W</w:t>
            </w:r>
          </w:p>
          <w:p w:rsidR="00F252A3" w:rsidRPr="00484DB6" w:rsidRDefault="00F252A3" w:rsidP="00B019FF">
            <w:pPr>
              <w:ind w:firstLine="284"/>
              <w:rPr>
                <w:rFonts w:cs="Arial"/>
                <w:sz w:val="20"/>
              </w:rPr>
            </w:pPr>
            <w:r w:rsidRPr="00484DB6">
              <w:rPr>
                <w:rFonts w:cs="Arial"/>
                <w:sz w:val="20"/>
              </w:rPr>
              <w:t>S 355 W</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235</w:t>
            </w:r>
          </w:p>
          <w:p w:rsidR="00F252A3" w:rsidRPr="00484DB6" w:rsidRDefault="00F252A3" w:rsidP="00B019FF">
            <w:pPr>
              <w:jc w:val="center"/>
              <w:rPr>
                <w:rFonts w:cs="Arial"/>
                <w:sz w:val="20"/>
              </w:rPr>
            </w:pPr>
            <w:r w:rsidRPr="00484DB6">
              <w:rPr>
                <w:rFonts w:cs="Arial"/>
                <w:sz w:val="20"/>
              </w:rPr>
              <w:t>355</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510</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215</w:t>
            </w:r>
          </w:p>
          <w:p w:rsidR="00F252A3" w:rsidRPr="00484DB6" w:rsidRDefault="00F252A3" w:rsidP="00B019FF">
            <w:pPr>
              <w:jc w:val="center"/>
              <w:rPr>
                <w:rFonts w:cs="Arial"/>
                <w:sz w:val="20"/>
              </w:rPr>
            </w:pPr>
            <w:r w:rsidRPr="00484DB6">
              <w:rPr>
                <w:rFonts w:cs="Arial"/>
                <w:sz w:val="20"/>
              </w:rPr>
              <w:t>335</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340</w:t>
            </w:r>
          </w:p>
          <w:p w:rsidR="00F252A3" w:rsidRPr="00484DB6" w:rsidRDefault="00F252A3" w:rsidP="00B019FF">
            <w:pPr>
              <w:jc w:val="center"/>
              <w:rPr>
                <w:rFonts w:cs="Arial"/>
                <w:sz w:val="20"/>
              </w:rPr>
            </w:pPr>
            <w:r w:rsidRPr="00484DB6">
              <w:rPr>
                <w:rFonts w:cs="Arial"/>
                <w:sz w:val="20"/>
              </w:rPr>
              <w:t>490</w:t>
            </w:r>
          </w:p>
        </w:tc>
      </w:tr>
    </w:tbl>
    <w:p w:rsidR="00F252A3" w:rsidRPr="00484DB6" w:rsidRDefault="00F252A3" w:rsidP="00F252A3">
      <w:pPr>
        <w:ind w:firstLine="284"/>
        <w:rPr>
          <w:rFonts w:cs="Arial"/>
          <w:sz w:val="20"/>
        </w:rPr>
      </w:pPr>
    </w:p>
    <w:p w:rsidR="00F252A3" w:rsidRPr="00484DB6" w:rsidRDefault="00F252A3" w:rsidP="00F252A3">
      <w:pPr>
        <w:rPr>
          <w:rFonts w:cs="Arial"/>
          <w:sz w:val="20"/>
        </w:rPr>
      </w:pP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Laminati a caldo con profili a sezione cava</w:t>
      </w:r>
    </w:p>
    <w:tbl>
      <w:tblPr>
        <w:tblW w:w="0" w:type="auto"/>
        <w:tblInd w:w="65" w:type="dxa"/>
        <w:tblLayout w:type="fixed"/>
        <w:tblCellMar>
          <w:left w:w="65" w:type="dxa"/>
          <w:right w:w="65" w:type="dxa"/>
        </w:tblCellMar>
        <w:tblLook w:val="0000"/>
      </w:tblPr>
      <w:tblGrid>
        <w:gridCol w:w="1927"/>
        <w:gridCol w:w="1927"/>
        <w:gridCol w:w="1927"/>
        <w:gridCol w:w="1927"/>
        <w:gridCol w:w="1927"/>
      </w:tblGrid>
      <w:tr w:rsidR="00F252A3" w:rsidRPr="00484DB6" w:rsidTr="00B019FF">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Norme e qualità degli acciai</w:t>
            </w:r>
          </w:p>
        </w:tc>
        <w:tc>
          <w:tcPr>
            <w:tcW w:w="7708" w:type="dxa"/>
            <w:gridSpan w:val="4"/>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Spessore nominale dell'elemento</w:t>
            </w:r>
          </w:p>
        </w:tc>
      </w:tr>
      <w:tr w:rsidR="00F252A3" w:rsidRPr="00484DB6" w:rsidTr="00B019FF">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ind w:firstLine="284"/>
              <w:rPr>
                <w:rFonts w:cs="Arial"/>
                <w:sz w:val="20"/>
              </w:rPr>
            </w:pPr>
          </w:p>
        </w:tc>
        <w:tc>
          <w:tcPr>
            <w:tcW w:w="3854" w:type="dxa"/>
            <w:gridSpan w:val="2"/>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r w:rsidRPr="00484DB6">
              <w:rPr>
                <w:rFonts w:cs="Arial"/>
                <w:sz w:val="20"/>
              </w:rPr>
              <w:t>t ≤ 40 mm</w:t>
            </w:r>
          </w:p>
        </w:tc>
        <w:tc>
          <w:tcPr>
            <w:tcW w:w="3854" w:type="dxa"/>
            <w:gridSpan w:val="2"/>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r w:rsidRPr="00484DB6">
              <w:rPr>
                <w:rFonts w:cs="Arial"/>
                <w:sz w:val="20"/>
              </w:rPr>
              <w:t xml:space="preserve">40 mm </w:t>
            </w:r>
            <w:r w:rsidRPr="00484DB6">
              <w:rPr>
                <w:rFonts w:cs="Arial"/>
                <w:b/>
                <w:sz w:val="20"/>
              </w:rPr>
              <w:t xml:space="preserve">&lt; </w:t>
            </w:r>
            <w:r w:rsidRPr="00484DB6">
              <w:rPr>
                <w:rFonts w:cs="Arial"/>
                <w:sz w:val="20"/>
              </w:rPr>
              <w:t>t ≤ 80 mm</w:t>
            </w:r>
          </w:p>
        </w:tc>
      </w:tr>
      <w:tr w:rsidR="00F252A3" w:rsidRPr="00484DB6" w:rsidTr="00B019FF">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ind w:firstLine="284"/>
              <w:rPr>
                <w:rFonts w:cs="Arial"/>
                <w:sz w:val="20"/>
              </w:rPr>
            </w:pP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yk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tk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yk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192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tk</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r>
      <w:tr w:rsidR="00F252A3" w:rsidRPr="00484DB6" w:rsidTr="00B019FF">
        <w:trPr>
          <w:trHeight w:val="241"/>
        </w:trPr>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lang w:val="en-US"/>
              </w:rPr>
            </w:pPr>
            <w:r w:rsidRPr="00484DB6">
              <w:rPr>
                <w:rFonts w:cs="Arial"/>
                <w:b/>
                <w:sz w:val="20"/>
                <w:lang w:val="en-US"/>
              </w:rPr>
              <w:t>UNI EN 10210-1</w:t>
            </w:r>
          </w:p>
          <w:p w:rsidR="00F252A3" w:rsidRPr="00484DB6" w:rsidRDefault="00F252A3" w:rsidP="00B019FF">
            <w:pPr>
              <w:ind w:firstLine="284"/>
              <w:rPr>
                <w:rFonts w:cs="Arial"/>
                <w:sz w:val="20"/>
                <w:lang w:val="en-US"/>
              </w:rPr>
            </w:pPr>
            <w:r w:rsidRPr="00484DB6">
              <w:rPr>
                <w:rFonts w:cs="Arial"/>
                <w:sz w:val="20"/>
                <w:lang w:val="en-US"/>
              </w:rPr>
              <w:t>S 235 H</w:t>
            </w:r>
          </w:p>
          <w:p w:rsidR="00F252A3" w:rsidRPr="00484DB6" w:rsidRDefault="00F252A3" w:rsidP="00B019FF">
            <w:pPr>
              <w:ind w:firstLine="284"/>
              <w:rPr>
                <w:rFonts w:cs="Arial"/>
                <w:sz w:val="20"/>
                <w:lang w:val="en-US"/>
              </w:rPr>
            </w:pPr>
            <w:r w:rsidRPr="00484DB6">
              <w:rPr>
                <w:rFonts w:cs="Arial"/>
                <w:sz w:val="20"/>
                <w:lang w:val="en-US"/>
              </w:rPr>
              <w:t>S 275 H</w:t>
            </w:r>
          </w:p>
          <w:p w:rsidR="00F252A3" w:rsidRPr="00484DB6" w:rsidRDefault="00F252A3" w:rsidP="00B019FF">
            <w:pPr>
              <w:ind w:firstLine="284"/>
              <w:rPr>
                <w:rFonts w:cs="Arial"/>
                <w:sz w:val="20"/>
                <w:lang w:val="en-US"/>
              </w:rPr>
            </w:pPr>
            <w:r w:rsidRPr="00484DB6">
              <w:rPr>
                <w:rFonts w:cs="Arial"/>
                <w:sz w:val="20"/>
                <w:lang w:val="en-US"/>
              </w:rPr>
              <w:t>S 355 H</w:t>
            </w:r>
          </w:p>
          <w:p w:rsidR="00F252A3" w:rsidRPr="00484DB6" w:rsidRDefault="00F252A3" w:rsidP="00B019FF">
            <w:pPr>
              <w:rPr>
                <w:rFonts w:cs="Arial"/>
                <w:sz w:val="20"/>
                <w:lang w:val="en-US"/>
              </w:rPr>
            </w:pPr>
          </w:p>
          <w:p w:rsidR="00F252A3" w:rsidRPr="00484DB6" w:rsidRDefault="00F252A3" w:rsidP="00B019FF">
            <w:pPr>
              <w:ind w:firstLine="284"/>
              <w:rPr>
                <w:rFonts w:cs="Arial"/>
                <w:sz w:val="20"/>
                <w:lang w:val="en-US"/>
              </w:rPr>
            </w:pPr>
            <w:r w:rsidRPr="00484DB6">
              <w:rPr>
                <w:rFonts w:cs="Arial"/>
                <w:sz w:val="20"/>
                <w:lang w:val="en-US"/>
              </w:rPr>
              <w:t>S 275 NH/NLH</w:t>
            </w:r>
          </w:p>
          <w:p w:rsidR="00F252A3" w:rsidRPr="00484DB6" w:rsidRDefault="00F252A3" w:rsidP="00B019FF">
            <w:pPr>
              <w:ind w:firstLine="284"/>
              <w:rPr>
                <w:rFonts w:cs="Arial"/>
                <w:sz w:val="20"/>
                <w:lang w:val="en-US"/>
              </w:rPr>
            </w:pPr>
            <w:r w:rsidRPr="00484DB6">
              <w:rPr>
                <w:rFonts w:cs="Arial"/>
                <w:sz w:val="20"/>
                <w:lang w:val="en-US"/>
              </w:rPr>
              <w:t>S 355 NH/NLH</w:t>
            </w:r>
          </w:p>
          <w:p w:rsidR="00F252A3" w:rsidRPr="00484DB6" w:rsidRDefault="00F252A3" w:rsidP="00B019FF">
            <w:pPr>
              <w:ind w:firstLine="284"/>
              <w:rPr>
                <w:rFonts w:cs="Arial"/>
                <w:sz w:val="20"/>
                <w:lang w:val="en-US"/>
              </w:rPr>
            </w:pPr>
            <w:r w:rsidRPr="00484DB6">
              <w:rPr>
                <w:rFonts w:cs="Arial"/>
                <w:sz w:val="20"/>
                <w:lang w:val="en-US"/>
              </w:rPr>
              <w:t>S 420 NH/NLH</w:t>
            </w:r>
          </w:p>
          <w:p w:rsidR="00F252A3" w:rsidRPr="00484DB6" w:rsidRDefault="00F252A3" w:rsidP="00B019FF">
            <w:pPr>
              <w:ind w:firstLine="284"/>
              <w:rPr>
                <w:rFonts w:cs="Arial"/>
                <w:sz w:val="20"/>
                <w:lang w:val="en-US"/>
              </w:rPr>
            </w:pPr>
            <w:r w:rsidRPr="00484DB6">
              <w:rPr>
                <w:rFonts w:cs="Arial"/>
                <w:sz w:val="20"/>
                <w:lang w:val="en-US"/>
              </w:rPr>
              <w:t>S 460 NH/NLH</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lang w:val="en-US"/>
              </w:rPr>
            </w:pPr>
          </w:p>
          <w:p w:rsidR="00F252A3" w:rsidRPr="00484DB6" w:rsidRDefault="00F252A3" w:rsidP="00B019FF">
            <w:pPr>
              <w:jc w:val="center"/>
              <w:rPr>
                <w:rFonts w:cs="Arial"/>
                <w:sz w:val="20"/>
              </w:rPr>
            </w:pPr>
            <w:r w:rsidRPr="00484DB6">
              <w:rPr>
                <w:rFonts w:cs="Arial"/>
                <w:sz w:val="20"/>
              </w:rPr>
              <w:t>235</w:t>
            </w: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r w:rsidRPr="00484DB6">
              <w:rPr>
                <w:rFonts w:cs="Arial"/>
                <w:sz w:val="20"/>
              </w:rPr>
              <w:t>420</w:t>
            </w:r>
          </w:p>
          <w:p w:rsidR="00F252A3" w:rsidRPr="00484DB6" w:rsidRDefault="00F252A3" w:rsidP="00B019FF">
            <w:pPr>
              <w:jc w:val="center"/>
              <w:rPr>
                <w:rFonts w:cs="Arial"/>
                <w:sz w:val="20"/>
              </w:rPr>
            </w:pPr>
            <w:r w:rsidRPr="00484DB6">
              <w:rPr>
                <w:rFonts w:cs="Arial"/>
                <w:sz w:val="20"/>
              </w:rPr>
              <w:t>460</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430</w:t>
            </w:r>
          </w:p>
          <w:p w:rsidR="00F252A3" w:rsidRPr="00484DB6" w:rsidRDefault="00F252A3" w:rsidP="00B019FF">
            <w:pPr>
              <w:jc w:val="center"/>
              <w:rPr>
                <w:rFonts w:cs="Arial"/>
                <w:sz w:val="20"/>
              </w:rPr>
            </w:pPr>
            <w:r w:rsidRPr="00484DB6">
              <w:rPr>
                <w:rFonts w:cs="Arial"/>
                <w:sz w:val="20"/>
              </w:rPr>
              <w:t>510</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390</w:t>
            </w:r>
          </w:p>
          <w:p w:rsidR="00F252A3" w:rsidRPr="00484DB6" w:rsidRDefault="00F252A3" w:rsidP="00B019FF">
            <w:pPr>
              <w:jc w:val="center"/>
              <w:rPr>
                <w:rFonts w:cs="Arial"/>
                <w:sz w:val="20"/>
              </w:rPr>
            </w:pPr>
            <w:r w:rsidRPr="00484DB6">
              <w:rPr>
                <w:rFonts w:cs="Arial"/>
                <w:sz w:val="20"/>
              </w:rPr>
              <w:t>490</w:t>
            </w:r>
          </w:p>
          <w:p w:rsidR="00F252A3" w:rsidRPr="00484DB6" w:rsidRDefault="00F252A3" w:rsidP="00B019FF">
            <w:pPr>
              <w:jc w:val="center"/>
              <w:rPr>
                <w:rFonts w:cs="Arial"/>
                <w:sz w:val="20"/>
              </w:rPr>
            </w:pPr>
            <w:r w:rsidRPr="00484DB6">
              <w:rPr>
                <w:rFonts w:cs="Arial"/>
                <w:sz w:val="20"/>
              </w:rPr>
              <w:t>540</w:t>
            </w:r>
          </w:p>
          <w:p w:rsidR="00F252A3" w:rsidRPr="00484DB6" w:rsidRDefault="00F252A3" w:rsidP="00B019FF">
            <w:pPr>
              <w:jc w:val="center"/>
              <w:rPr>
                <w:rFonts w:cs="Arial"/>
                <w:sz w:val="20"/>
              </w:rPr>
            </w:pPr>
            <w:r w:rsidRPr="00484DB6">
              <w:rPr>
                <w:rFonts w:cs="Arial"/>
                <w:sz w:val="20"/>
              </w:rPr>
              <w:t>560</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215</w:t>
            </w:r>
          </w:p>
          <w:p w:rsidR="00F252A3" w:rsidRPr="00484DB6" w:rsidRDefault="00F252A3" w:rsidP="00B019FF">
            <w:pPr>
              <w:jc w:val="center"/>
              <w:rPr>
                <w:rFonts w:cs="Arial"/>
                <w:sz w:val="20"/>
              </w:rPr>
            </w:pPr>
            <w:r w:rsidRPr="00484DB6">
              <w:rPr>
                <w:rFonts w:cs="Arial"/>
                <w:sz w:val="20"/>
              </w:rPr>
              <w:t>255</w:t>
            </w:r>
          </w:p>
          <w:p w:rsidR="00F252A3" w:rsidRPr="00484DB6" w:rsidRDefault="00F252A3" w:rsidP="00B019FF">
            <w:pPr>
              <w:jc w:val="center"/>
              <w:rPr>
                <w:rFonts w:cs="Arial"/>
                <w:sz w:val="20"/>
              </w:rPr>
            </w:pPr>
            <w:r w:rsidRPr="00484DB6">
              <w:rPr>
                <w:rFonts w:cs="Arial"/>
                <w:sz w:val="20"/>
              </w:rPr>
              <w:t>335</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255</w:t>
            </w:r>
          </w:p>
          <w:p w:rsidR="00F252A3" w:rsidRPr="00484DB6" w:rsidRDefault="00F252A3" w:rsidP="00B019FF">
            <w:pPr>
              <w:jc w:val="center"/>
              <w:rPr>
                <w:rFonts w:cs="Arial"/>
                <w:sz w:val="20"/>
              </w:rPr>
            </w:pPr>
            <w:r w:rsidRPr="00484DB6">
              <w:rPr>
                <w:rFonts w:cs="Arial"/>
                <w:sz w:val="20"/>
              </w:rPr>
              <w:t>335</w:t>
            </w:r>
          </w:p>
          <w:p w:rsidR="00F252A3" w:rsidRPr="00484DB6" w:rsidRDefault="00F252A3" w:rsidP="00B019FF">
            <w:pPr>
              <w:jc w:val="center"/>
              <w:rPr>
                <w:rFonts w:cs="Arial"/>
                <w:sz w:val="20"/>
              </w:rPr>
            </w:pPr>
            <w:r w:rsidRPr="00484DB6">
              <w:rPr>
                <w:rFonts w:cs="Arial"/>
                <w:sz w:val="20"/>
              </w:rPr>
              <w:t>390</w:t>
            </w:r>
          </w:p>
          <w:p w:rsidR="00F252A3" w:rsidRPr="00484DB6" w:rsidRDefault="00F252A3" w:rsidP="00B019FF">
            <w:pPr>
              <w:jc w:val="center"/>
              <w:rPr>
                <w:rFonts w:cs="Arial"/>
                <w:sz w:val="20"/>
              </w:rPr>
            </w:pPr>
            <w:r w:rsidRPr="00484DB6">
              <w:rPr>
                <w:rFonts w:cs="Arial"/>
                <w:sz w:val="20"/>
              </w:rPr>
              <w:t>430</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340</w:t>
            </w:r>
          </w:p>
          <w:p w:rsidR="00F252A3" w:rsidRPr="00484DB6" w:rsidRDefault="00F252A3" w:rsidP="00B019FF">
            <w:pPr>
              <w:jc w:val="center"/>
              <w:rPr>
                <w:rFonts w:cs="Arial"/>
                <w:sz w:val="20"/>
              </w:rPr>
            </w:pPr>
            <w:r w:rsidRPr="00484DB6">
              <w:rPr>
                <w:rFonts w:cs="Arial"/>
                <w:sz w:val="20"/>
              </w:rPr>
              <w:t>410</w:t>
            </w:r>
          </w:p>
          <w:p w:rsidR="00F252A3" w:rsidRPr="00484DB6" w:rsidRDefault="00F252A3" w:rsidP="00B019FF">
            <w:pPr>
              <w:jc w:val="center"/>
              <w:rPr>
                <w:rFonts w:cs="Arial"/>
                <w:sz w:val="20"/>
              </w:rPr>
            </w:pPr>
            <w:r w:rsidRPr="00484DB6">
              <w:rPr>
                <w:rFonts w:cs="Arial"/>
                <w:sz w:val="20"/>
              </w:rPr>
              <w:t>490</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370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r w:rsidRPr="00484DB6">
              <w:rPr>
                <w:rFonts w:cs="Arial"/>
                <w:sz w:val="20"/>
              </w:rPr>
              <w:t>520</w:t>
            </w:r>
          </w:p>
          <w:p w:rsidR="00F252A3" w:rsidRPr="00484DB6" w:rsidRDefault="00F252A3" w:rsidP="00B019FF">
            <w:pPr>
              <w:jc w:val="center"/>
              <w:rPr>
                <w:rFonts w:cs="Arial"/>
                <w:sz w:val="20"/>
              </w:rPr>
            </w:pPr>
            <w:r w:rsidRPr="00484DB6">
              <w:rPr>
                <w:rFonts w:cs="Arial"/>
                <w:sz w:val="20"/>
              </w:rPr>
              <w:t>550</w:t>
            </w:r>
          </w:p>
        </w:tc>
      </w:tr>
      <w:tr w:rsidR="00F252A3" w:rsidRPr="00484DB6" w:rsidTr="00B019FF">
        <w:trPr>
          <w:trHeight w:val="241"/>
        </w:trPr>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r>
      <w:tr w:rsidR="00F252A3" w:rsidRPr="00484DB6" w:rsidTr="00B019FF">
        <w:trPr>
          <w:trHeight w:val="241"/>
        </w:trPr>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rPr>
                <w:rFonts w:cs="Arial"/>
                <w:sz w:val="20"/>
                <w:lang w:val="en-US"/>
              </w:rPr>
            </w:pPr>
            <w:r w:rsidRPr="00484DB6">
              <w:rPr>
                <w:rFonts w:cs="Arial"/>
                <w:b/>
                <w:sz w:val="20"/>
                <w:lang w:val="en-US"/>
              </w:rPr>
              <w:t>UNI EN 10219-1</w:t>
            </w:r>
          </w:p>
          <w:p w:rsidR="00F252A3" w:rsidRPr="00484DB6" w:rsidRDefault="00F252A3" w:rsidP="00B019FF">
            <w:pPr>
              <w:ind w:firstLine="284"/>
              <w:rPr>
                <w:rFonts w:cs="Arial"/>
                <w:sz w:val="20"/>
                <w:lang w:val="en-US"/>
              </w:rPr>
            </w:pPr>
            <w:r w:rsidRPr="00484DB6">
              <w:rPr>
                <w:rFonts w:cs="Arial"/>
                <w:sz w:val="20"/>
                <w:lang w:val="en-US"/>
              </w:rPr>
              <w:t>S 235 H</w:t>
            </w:r>
          </w:p>
          <w:p w:rsidR="00F252A3" w:rsidRPr="00484DB6" w:rsidRDefault="00F252A3" w:rsidP="00B019FF">
            <w:pPr>
              <w:ind w:firstLine="284"/>
              <w:rPr>
                <w:rFonts w:cs="Arial"/>
                <w:sz w:val="20"/>
                <w:lang w:val="en-US"/>
              </w:rPr>
            </w:pPr>
            <w:r w:rsidRPr="00484DB6">
              <w:rPr>
                <w:rFonts w:cs="Arial"/>
                <w:sz w:val="20"/>
                <w:lang w:val="en-US"/>
              </w:rPr>
              <w:t>S 275 H</w:t>
            </w:r>
          </w:p>
          <w:p w:rsidR="00F252A3" w:rsidRPr="00484DB6" w:rsidRDefault="00F252A3" w:rsidP="00B019FF">
            <w:pPr>
              <w:ind w:firstLine="284"/>
              <w:rPr>
                <w:rFonts w:cs="Arial"/>
                <w:sz w:val="20"/>
                <w:lang w:val="en-US"/>
              </w:rPr>
            </w:pPr>
            <w:r w:rsidRPr="00484DB6">
              <w:rPr>
                <w:rFonts w:cs="Arial"/>
                <w:sz w:val="20"/>
                <w:lang w:val="en-US"/>
              </w:rPr>
              <w:t>S 355 H</w:t>
            </w:r>
          </w:p>
          <w:p w:rsidR="00F252A3" w:rsidRPr="00484DB6" w:rsidRDefault="00F252A3" w:rsidP="00B019FF">
            <w:pPr>
              <w:rPr>
                <w:rFonts w:cs="Arial"/>
                <w:sz w:val="20"/>
                <w:lang w:val="en-US"/>
              </w:rPr>
            </w:pPr>
          </w:p>
          <w:p w:rsidR="00F252A3" w:rsidRPr="00484DB6" w:rsidRDefault="00F252A3" w:rsidP="00B019FF">
            <w:pPr>
              <w:ind w:firstLine="284"/>
              <w:rPr>
                <w:rFonts w:cs="Arial"/>
                <w:sz w:val="20"/>
                <w:lang w:val="en-US"/>
              </w:rPr>
            </w:pPr>
            <w:r w:rsidRPr="00484DB6">
              <w:rPr>
                <w:rFonts w:cs="Arial"/>
                <w:sz w:val="20"/>
                <w:lang w:val="en-US"/>
              </w:rPr>
              <w:t>S 275 NH/NLH</w:t>
            </w:r>
          </w:p>
          <w:p w:rsidR="00F252A3" w:rsidRPr="00484DB6" w:rsidRDefault="00F252A3" w:rsidP="00B019FF">
            <w:pPr>
              <w:ind w:firstLine="284"/>
              <w:rPr>
                <w:rFonts w:cs="Arial"/>
                <w:sz w:val="20"/>
                <w:lang w:val="en-US"/>
              </w:rPr>
            </w:pPr>
            <w:r w:rsidRPr="00484DB6">
              <w:rPr>
                <w:rFonts w:cs="Arial"/>
                <w:sz w:val="20"/>
                <w:lang w:val="en-US"/>
              </w:rPr>
              <w:t>S 355 NH/NLH</w:t>
            </w:r>
          </w:p>
          <w:p w:rsidR="00F252A3" w:rsidRPr="00484DB6" w:rsidRDefault="00F252A3" w:rsidP="00B019FF">
            <w:pPr>
              <w:ind w:firstLine="284"/>
              <w:rPr>
                <w:rFonts w:cs="Arial"/>
                <w:sz w:val="20"/>
                <w:lang w:val="en-US"/>
              </w:rPr>
            </w:pPr>
          </w:p>
          <w:p w:rsidR="00F252A3" w:rsidRPr="00484DB6" w:rsidRDefault="00F252A3" w:rsidP="00B019FF">
            <w:pPr>
              <w:ind w:firstLine="284"/>
              <w:rPr>
                <w:rFonts w:cs="Arial"/>
                <w:sz w:val="20"/>
                <w:lang w:val="en-US"/>
              </w:rPr>
            </w:pPr>
            <w:r w:rsidRPr="00484DB6">
              <w:rPr>
                <w:rFonts w:cs="Arial"/>
                <w:sz w:val="20"/>
                <w:lang w:val="en-US"/>
              </w:rPr>
              <w:t>S 275 MH/MLH</w:t>
            </w:r>
          </w:p>
          <w:p w:rsidR="00F252A3" w:rsidRPr="00484DB6" w:rsidRDefault="00F252A3" w:rsidP="00B019FF">
            <w:pPr>
              <w:ind w:firstLine="284"/>
              <w:rPr>
                <w:rFonts w:cs="Arial"/>
                <w:sz w:val="20"/>
                <w:lang w:val="en-US"/>
              </w:rPr>
            </w:pPr>
            <w:r w:rsidRPr="00484DB6">
              <w:rPr>
                <w:rFonts w:cs="Arial"/>
                <w:sz w:val="20"/>
                <w:lang w:val="en-US"/>
              </w:rPr>
              <w:t>S 355 MH/MLH</w:t>
            </w:r>
          </w:p>
          <w:p w:rsidR="00F252A3" w:rsidRPr="00484DB6" w:rsidRDefault="00F252A3" w:rsidP="00B019FF">
            <w:pPr>
              <w:ind w:firstLine="284"/>
              <w:rPr>
                <w:rFonts w:cs="Arial"/>
                <w:sz w:val="20"/>
                <w:lang w:val="en-US"/>
              </w:rPr>
            </w:pPr>
            <w:r w:rsidRPr="00484DB6">
              <w:rPr>
                <w:rFonts w:cs="Arial"/>
                <w:sz w:val="20"/>
                <w:lang w:val="en-US"/>
              </w:rPr>
              <w:t>S 420 MH/MLH</w:t>
            </w:r>
          </w:p>
          <w:p w:rsidR="00F252A3" w:rsidRPr="00484DB6" w:rsidRDefault="00F252A3" w:rsidP="00B019FF">
            <w:pPr>
              <w:ind w:firstLine="284"/>
              <w:rPr>
                <w:rFonts w:cs="Arial"/>
                <w:sz w:val="20"/>
                <w:lang w:val="en-US"/>
              </w:rPr>
            </w:pPr>
            <w:r w:rsidRPr="00484DB6">
              <w:rPr>
                <w:rFonts w:cs="Arial"/>
                <w:sz w:val="20"/>
                <w:lang w:val="en-US"/>
              </w:rPr>
              <w:t>S 460 MH/MLH</w:t>
            </w:r>
          </w:p>
          <w:p w:rsidR="00F252A3" w:rsidRPr="00484DB6" w:rsidRDefault="00F252A3" w:rsidP="00B019FF">
            <w:pPr>
              <w:ind w:firstLine="284"/>
              <w:rPr>
                <w:rFonts w:cs="Arial"/>
                <w:sz w:val="20"/>
              </w:rPr>
            </w:pPr>
            <w:r w:rsidRPr="00484DB6">
              <w:rPr>
                <w:rFonts w:cs="Arial"/>
                <w:sz w:val="20"/>
              </w:rPr>
              <w:t>S 460 NH/NHL</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235</w:t>
            </w: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ind w:firstLine="284"/>
              <w:rPr>
                <w:rFonts w:cs="Arial"/>
                <w:sz w:val="20"/>
              </w:rPr>
            </w:pP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275</w:t>
            </w:r>
          </w:p>
          <w:p w:rsidR="00F252A3" w:rsidRPr="00484DB6" w:rsidRDefault="00F252A3" w:rsidP="00B019FF">
            <w:pPr>
              <w:jc w:val="center"/>
              <w:rPr>
                <w:rFonts w:cs="Arial"/>
                <w:sz w:val="20"/>
              </w:rPr>
            </w:pPr>
            <w:r w:rsidRPr="00484DB6">
              <w:rPr>
                <w:rFonts w:cs="Arial"/>
                <w:sz w:val="20"/>
              </w:rPr>
              <w:t>355</w:t>
            </w:r>
          </w:p>
          <w:p w:rsidR="00F252A3" w:rsidRPr="00484DB6" w:rsidRDefault="00F252A3" w:rsidP="00B019FF">
            <w:pPr>
              <w:jc w:val="center"/>
              <w:rPr>
                <w:rFonts w:cs="Arial"/>
                <w:sz w:val="20"/>
              </w:rPr>
            </w:pPr>
            <w:r w:rsidRPr="00484DB6">
              <w:rPr>
                <w:rFonts w:cs="Arial"/>
                <w:sz w:val="20"/>
              </w:rPr>
              <w:t>420</w:t>
            </w:r>
          </w:p>
          <w:p w:rsidR="00F252A3" w:rsidRPr="00484DB6" w:rsidRDefault="00F252A3" w:rsidP="00B019FF">
            <w:pPr>
              <w:jc w:val="center"/>
              <w:rPr>
                <w:rFonts w:cs="Arial"/>
                <w:sz w:val="20"/>
              </w:rPr>
            </w:pPr>
            <w:r w:rsidRPr="00484DB6">
              <w:rPr>
                <w:rFonts w:cs="Arial"/>
                <w:sz w:val="20"/>
              </w:rPr>
              <w:t>460</w:t>
            </w:r>
          </w:p>
          <w:p w:rsidR="00F252A3" w:rsidRPr="00484DB6" w:rsidRDefault="00F252A3" w:rsidP="00B019FF">
            <w:pPr>
              <w:jc w:val="center"/>
              <w:rPr>
                <w:rFonts w:cs="Arial"/>
                <w:sz w:val="20"/>
              </w:rPr>
            </w:pPr>
            <w:r w:rsidRPr="00484DB6">
              <w:rPr>
                <w:rFonts w:cs="Arial"/>
                <w:sz w:val="20"/>
              </w:rPr>
              <w:t>460</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430</w:t>
            </w:r>
          </w:p>
          <w:p w:rsidR="00F252A3" w:rsidRPr="00484DB6" w:rsidRDefault="00F252A3" w:rsidP="00B019FF">
            <w:pPr>
              <w:jc w:val="center"/>
              <w:rPr>
                <w:rFonts w:cs="Arial"/>
                <w:sz w:val="20"/>
              </w:rPr>
            </w:pPr>
            <w:r w:rsidRPr="00484DB6">
              <w:rPr>
                <w:rFonts w:cs="Arial"/>
                <w:sz w:val="20"/>
              </w:rPr>
              <w:t>510</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370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p>
          <w:p w:rsidR="00F252A3" w:rsidRPr="00484DB6" w:rsidRDefault="00F252A3" w:rsidP="00B019FF">
            <w:pPr>
              <w:jc w:val="center"/>
              <w:rPr>
                <w:rFonts w:cs="Arial"/>
                <w:sz w:val="20"/>
              </w:rPr>
            </w:pPr>
            <w:r w:rsidRPr="00484DB6">
              <w:rPr>
                <w:rFonts w:cs="Arial"/>
                <w:sz w:val="20"/>
              </w:rPr>
              <w:t>360</w:t>
            </w:r>
          </w:p>
          <w:p w:rsidR="00F252A3" w:rsidRPr="00484DB6" w:rsidRDefault="00F252A3" w:rsidP="00B019FF">
            <w:pPr>
              <w:jc w:val="center"/>
              <w:rPr>
                <w:rFonts w:cs="Arial"/>
                <w:sz w:val="20"/>
              </w:rPr>
            </w:pPr>
            <w:r w:rsidRPr="00484DB6">
              <w:rPr>
                <w:rFonts w:cs="Arial"/>
                <w:sz w:val="20"/>
              </w:rPr>
              <w:t>470</w:t>
            </w:r>
          </w:p>
          <w:p w:rsidR="00F252A3" w:rsidRPr="00484DB6" w:rsidRDefault="00F252A3" w:rsidP="00B019FF">
            <w:pPr>
              <w:jc w:val="center"/>
              <w:rPr>
                <w:rFonts w:cs="Arial"/>
                <w:sz w:val="20"/>
              </w:rPr>
            </w:pPr>
            <w:r w:rsidRPr="00484DB6">
              <w:rPr>
                <w:rFonts w:cs="Arial"/>
                <w:sz w:val="20"/>
              </w:rPr>
              <w:t>500</w:t>
            </w:r>
          </w:p>
          <w:p w:rsidR="00F252A3" w:rsidRPr="00484DB6" w:rsidRDefault="00F252A3" w:rsidP="00B019FF">
            <w:pPr>
              <w:jc w:val="center"/>
              <w:rPr>
                <w:rFonts w:cs="Arial"/>
                <w:sz w:val="20"/>
              </w:rPr>
            </w:pPr>
            <w:r w:rsidRPr="00484DB6">
              <w:rPr>
                <w:rFonts w:cs="Arial"/>
                <w:sz w:val="20"/>
              </w:rPr>
              <w:t>530</w:t>
            </w:r>
          </w:p>
          <w:p w:rsidR="00F252A3" w:rsidRPr="00484DB6" w:rsidRDefault="00F252A3" w:rsidP="00B019FF">
            <w:pPr>
              <w:jc w:val="center"/>
              <w:rPr>
                <w:rFonts w:cs="Arial"/>
                <w:sz w:val="20"/>
              </w:rPr>
            </w:pPr>
            <w:r w:rsidRPr="00484DB6">
              <w:rPr>
                <w:rFonts w:cs="Arial"/>
                <w:sz w:val="20"/>
              </w:rPr>
              <w:t>550</w:t>
            </w: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p>
          <w:p w:rsidR="00F252A3" w:rsidRPr="00484DB6" w:rsidRDefault="00F252A3" w:rsidP="00B019FF">
            <w:pPr>
              <w:jc w:val="center"/>
              <w:rPr>
                <w:rFonts w:cs="Arial"/>
                <w:sz w:val="20"/>
              </w:rPr>
            </w:pPr>
          </w:p>
          <w:p w:rsidR="00F252A3" w:rsidRPr="00484DB6" w:rsidRDefault="00F252A3" w:rsidP="00B019FF">
            <w:pPr>
              <w:jc w:val="center"/>
              <w:rPr>
                <w:rFonts w:cs="Arial"/>
                <w:sz w:val="20"/>
              </w:rPr>
            </w:pPr>
          </w:p>
        </w:tc>
        <w:tc>
          <w:tcPr>
            <w:tcW w:w="192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p w:rsidR="00F252A3" w:rsidRPr="00484DB6" w:rsidRDefault="00F252A3" w:rsidP="00B019FF">
            <w:pPr>
              <w:jc w:val="center"/>
              <w:rPr>
                <w:rFonts w:cs="Arial"/>
                <w:sz w:val="20"/>
              </w:rPr>
            </w:pPr>
          </w:p>
          <w:p w:rsidR="00F252A3" w:rsidRPr="00484DB6" w:rsidRDefault="00F252A3" w:rsidP="00B019FF">
            <w:pPr>
              <w:jc w:val="center"/>
              <w:rPr>
                <w:rFonts w:cs="Arial"/>
                <w:sz w:val="20"/>
              </w:rPr>
            </w:pPr>
          </w:p>
          <w:p w:rsidR="00F252A3" w:rsidRPr="00484DB6" w:rsidRDefault="00F252A3" w:rsidP="00B019FF">
            <w:pPr>
              <w:jc w:val="center"/>
              <w:rPr>
                <w:rFonts w:cs="Arial"/>
                <w:sz w:val="20"/>
              </w:rPr>
            </w:pPr>
          </w:p>
        </w:tc>
      </w:tr>
      <w:tr w:rsidR="00F252A3" w:rsidRPr="00484DB6" w:rsidTr="00B019FF">
        <w:trPr>
          <w:trHeight w:val="241"/>
        </w:trPr>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ind w:firstLine="284"/>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c>
          <w:tcPr>
            <w:tcW w:w="192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tcPr>
          <w:p w:rsidR="00F252A3" w:rsidRPr="00484DB6" w:rsidRDefault="00F252A3" w:rsidP="00B019FF">
            <w:pPr>
              <w:jc w:val="center"/>
              <w:rPr>
                <w:rFonts w:cs="Arial"/>
                <w:sz w:val="20"/>
              </w:rPr>
            </w:pPr>
          </w:p>
        </w:tc>
      </w:tr>
    </w:tbl>
    <w:p w:rsidR="00F252A3" w:rsidRPr="00484DB6" w:rsidRDefault="00F252A3" w:rsidP="00F252A3">
      <w:pPr>
        <w:rPr>
          <w:rFonts w:cs="Arial"/>
          <w:sz w:val="20"/>
        </w:rPr>
      </w:pPr>
    </w:p>
    <w:p w:rsidR="00F252A3" w:rsidRPr="00484DB6" w:rsidRDefault="00F252A3" w:rsidP="00F252A3">
      <w:pPr>
        <w:rPr>
          <w:rFonts w:cs="Arial"/>
          <w:sz w:val="20"/>
        </w:rPr>
      </w:pPr>
    </w:p>
    <w:p w:rsidR="00F252A3" w:rsidRPr="00484DB6" w:rsidRDefault="00F252A3" w:rsidP="00F252A3">
      <w:pPr>
        <w:jc w:val="center"/>
        <w:rPr>
          <w:rFonts w:cs="Arial"/>
          <w:b/>
        </w:rPr>
      </w:pPr>
      <w:r w:rsidRPr="00484DB6">
        <w:rPr>
          <w:rFonts w:cs="Arial"/>
        </w:rPr>
        <w:br w:type="page"/>
      </w:r>
      <w:bookmarkStart w:id="16" w:name="679"/>
      <w:bookmarkEnd w:id="16"/>
      <w:r w:rsidRPr="00484DB6">
        <w:rPr>
          <w:rFonts w:cs="Arial"/>
          <w:b/>
          <w:sz w:val="32"/>
        </w:rPr>
        <w:lastRenderedPageBreak/>
        <w:t>CAPITOLO 3</w:t>
      </w:r>
    </w:p>
    <w:p w:rsidR="00F252A3" w:rsidRPr="00484DB6" w:rsidRDefault="00F252A3" w:rsidP="00F252A3">
      <w:pPr>
        <w:jc w:val="center"/>
        <w:rPr>
          <w:rFonts w:cs="Arial"/>
          <w:b/>
        </w:rPr>
      </w:pPr>
    </w:p>
    <w:p w:rsidR="00F252A3" w:rsidRPr="00CB1C0B" w:rsidRDefault="00F252A3" w:rsidP="00F252A3">
      <w:pPr>
        <w:jc w:val="center"/>
        <w:rPr>
          <w:rFonts w:cs="Arial"/>
          <w:b/>
        </w:rPr>
      </w:pPr>
    </w:p>
    <w:p w:rsidR="00F252A3" w:rsidRPr="00CB1C0B" w:rsidRDefault="00F252A3" w:rsidP="00F252A3">
      <w:pPr>
        <w:jc w:val="center"/>
        <w:rPr>
          <w:rFonts w:cs="Arial"/>
          <w:b/>
        </w:rPr>
      </w:pPr>
      <w:r w:rsidRPr="00CB1C0B">
        <w:rPr>
          <w:rFonts w:cs="Arial"/>
          <w:b/>
        </w:rPr>
        <w:t>CRITERI AMBIENTALI MINIMI</w:t>
      </w:r>
    </w:p>
    <w:p w:rsidR="00F252A3" w:rsidRPr="00CB1C0B" w:rsidRDefault="00F252A3" w:rsidP="00F252A3">
      <w:pPr>
        <w:jc w:val="center"/>
        <w:rPr>
          <w:rFonts w:cs="Arial"/>
          <w:b/>
        </w:rPr>
      </w:pPr>
      <w:r w:rsidRPr="00CB1C0B">
        <w:rPr>
          <w:rFonts w:cs="Arial"/>
          <w:b/>
        </w:rPr>
        <w:t>Nuova costruzione, ristrutturazione e manutenzione di edifici</w:t>
      </w:r>
    </w:p>
    <w:p w:rsidR="00C749CF" w:rsidRPr="00CB1C0B" w:rsidRDefault="00C749CF" w:rsidP="00F252A3">
      <w:pPr>
        <w:jc w:val="center"/>
        <w:rPr>
          <w:rFonts w:cs="Arial"/>
          <w:vanish/>
          <w:sz w:val="14"/>
        </w:rPr>
      </w:pPr>
    </w:p>
    <w:p w:rsidR="00F252A3" w:rsidRPr="00CB1C0B" w:rsidRDefault="00F252A3" w:rsidP="00F252A3">
      <w:pPr>
        <w:jc w:val="center"/>
        <w:rPr>
          <w:rFonts w:cs="Arial"/>
          <w:b/>
          <w:sz w:val="20"/>
        </w:rPr>
      </w:pPr>
      <w:r w:rsidRPr="00CB1C0B">
        <w:rPr>
          <w:rFonts w:cs="Arial"/>
          <w:b/>
          <w:sz w:val="20"/>
        </w:rPr>
        <w:t>Art. 3.1</w:t>
      </w:r>
    </w:p>
    <w:p w:rsidR="00F252A3" w:rsidRDefault="00F252A3" w:rsidP="00F252A3">
      <w:pPr>
        <w:jc w:val="center"/>
        <w:rPr>
          <w:rFonts w:cs="Arial"/>
          <w:b/>
          <w:sz w:val="20"/>
        </w:rPr>
      </w:pPr>
      <w:r w:rsidRPr="00CB1C0B">
        <w:rPr>
          <w:rFonts w:cs="Arial"/>
          <w:b/>
          <w:sz w:val="20"/>
        </w:rPr>
        <w:t>CRITERI AMBIENTALI MINIMI (CAM)</w:t>
      </w:r>
    </w:p>
    <w:p w:rsidR="00CB1C0B" w:rsidRPr="00CB1C0B" w:rsidRDefault="00CB1C0B" w:rsidP="00F252A3">
      <w:pPr>
        <w:jc w:val="center"/>
        <w:rPr>
          <w:rFonts w:cs="Arial"/>
          <w:b/>
          <w:sz w:val="20"/>
        </w:rPr>
      </w:pPr>
    </w:p>
    <w:p w:rsidR="00CB1C0B" w:rsidRPr="007F3291" w:rsidRDefault="00CB1C0B" w:rsidP="00CB1C0B">
      <w:pPr>
        <w:rPr>
          <w:sz w:val="20"/>
          <w:szCs w:val="18"/>
        </w:rPr>
      </w:pPr>
      <w:r w:rsidRPr="007F3291">
        <w:rPr>
          <w:sz w:val="20"/>
          <w:szCs w:val="18"/>
        </w:rPr>
        <w:t xml:space="preserve">Per questa parte si rimanda alla relazione specifica, </w:t>
      </w:r>
      <w:r w:rsidRPr="007F3291">
        <w:rPr>
          <w:i/>
          <w:iCs/>
          <w:sz w:val="20"/>
          <w:szCs w:val="18"/>
        </w:rPr>
        <w:t>GE.v1.CAM.01_Relazione CAM</w:t>
      </w:r>
      <w:r w:rsidRPr="007F3291">
        <w:rPr>
          <w:sz w:val="20"/>
          <w:szCs w:val="18"/>
        </w:rPr>
        <w:t xml:space="preserve">, che riporta le indicazioni contenute nel </w:t>
      </w:r>
      <w:r w:rsidRPr="007F3291">
        <w:rPr>
          <w:rFonts w:cs="Arial"/>
          <w:sz w:val="20"/>
          <w:szCs w:val="18"/>
        </w:rPr>
        <w:t>Decreto Ministeriale del Ministero della transizione ecologica - 23 giugno2022 – “Criteri ambientali minimi per l’affidamento del servizio di progettazione di interventi edilizi, per l’affidamento congiunto di progettazione e lavori per interventi edilizi”, approvato in G.U. n. 183 del 6 agosto 2022.</w:t>
      </w:r>
    </w:p>
    <w:p w:rsidR="00CB1C0B" w:rsidRPr="007F3291" w:rsidRDefault="00CB1C0B" w:rsidP="00CB1C0B">
      <w:pPr>
        <w:rPr>
          <w:sz w:val="20"/>
          <w:szCs w:val="18"/>
        </w:rPr>
      </w:pPr>
    </w:p>
    <w:p w:rsidR="00CB1C0B" w:rsidRPr="007F3291" w:rsidRDefault="00CB1C0B" w:rsidP="00CB1C0B">
      <w:pPr>
        <w:rPr>
          <w:sz w:val="20"/>
          <w:szCs w:val="18"/>
        </w:rPr>
      </w:pPr>
      <w:r w:rsidRPr="007F3291">
        <w:rPr>
          <w:sz w:val="20"/>
          <w:szCs w:val="18"/>
        </w:rPr>
        <w:t>Per ciascun criterio ambientale sono indicate le verifiche, ossia la documentazione che l’offerente o il fornitore è tenuto a presentare per comprovare la conformità del prodotto o del servizio al requisito cui si riferisce.</w:t>
      </w:r>
    </w:p>
    <w:p w:rsidR="00CB1C0B" w:rsidRPr="007F3291" w:rsidRDefault="00CB1C0B" w:rsidP="00CB1C0B">
      <w:pPr>
        <w:spacing w:before="121" w:line="276" w:lineRule="auto"/>
        <w:ind w:right="-2"/>
        <w:rPr>
          <w:rFonts w:cs="Arial"/>
          <w:sz w:val="20"/>
          <w:szCs w:val="18"/>
        </w:rPr>
      </w:pPr>
      <w:r w:rsidRPr="007F3291">
        <w:rPr>
          <w:rFonts w:cs="Arial"/>
          <w:sz w:val="20"/>
          <w:szCs w:val="18"/>
        </w:rPr>
        <w:t>L’organizzazione dell’intervento e l’uso di materiali, tecnologie, processi e metodi edilizi proposti contribuisce alla tutela della salute, con il contenimento al minimo impiego delle materie non rinnovabili e l'uso di materiali eco-compatibili. Il progetto, infatti, prevede l'uso di componenti concorrenti al contenimento dei consumi energetici, adottando accorgimenti tecnici tali da ridurre al minimo il ricorso a fonti energetiche non rinnovabili con una progettazione mirata ricercando sistemi di razionalizzazione dell'uso dell'acqua ed all'uso di materiali a basso impatto ambientale, orientati nell'ottica del riciclo e del riutilizzo.</w:t>
      </w:r>
    </w:p>
    <w:p w:rsidR="00CB1C0B" w:rsidRPr="007F3291" w:rsidRDefault="00CB1C0B" w:rsidP="00CB1C0B">
      <w:pPr>
        <w:spacing w:before="164" w:line="276" w:lineRule="auto"/>
        <w:ind w:right="-2"/>
        <w:rPr>
          <w:rFonts w:cs="Arial"/>
          <w:sz w:val="20"/>
          <w:szCs w:val="18"/>
        </w:rPr>
      </w:pPr>
      <w:r w:rsidRPr="007F3291">
        <w:rPr>
          <w:rFonts w:cs="Arial"/>
          <w:sz w:val="20"/>
          <w:szCs w:val="18"/>
        </w:rPr>
        <w:t>Le misure ed i criteri da mettere in atto per la realizzazione dell’intervento in oggetto mirano a contribuire in modo sostanziale al raggiungimento dell’obiettivo nazionale di risparmio energetico di cui all’art. 3 del decreto legislativo 4 luglio 2014, n.102, nonché al conseguimento degli obiettivi nazionali previsti dal “Piano d’azione per la sostenibilità ambientale dei consumi della Pubblica Amministrazione”- revisione 2013, coerentemente con le indicazioni della Comunicazione COM (2011) 571 «Tabella di marcia verso l’Europa efficiente nell’impiego delle risorse» ed in funzione dell’obiettivo di promuovere modelli di produzione e consumo sostenibili e modelli di «economia circolare» secondo quanto previsto dalla Comunicazione sull’economia circolare. L’utilizzazione dei CAM definiti nel presente documento consente di ridurre l’impatto ambientale dell’intervento considerato in un’ottica di ciclo di vita.</w:t>
      </w:r>
    </w:p>
    <w:p w:rsidR="00CB1C0B" w:rsidRPr="007F3291" w:rsidRDefault="00CB1C0B" w:rsidP="00CB1C0B">
      <w:pPr>
        <w:rPr>
          <w:b/>
          <w:bCs/>
          <w:sz w:val="20"/>
          <w:szCs w:val="18"/>
        </w:rPr>
      </w:pPr>
    </w:p>
    <w:p w:rsidR="00CB1C0B" w:rsidRPr="007F3291" w:rsidRDefault="00CB1C0B" w:rsidP="00CB1C0B">
      <w:pPr>
        <w:rPr>
          <w:b/>
          <w:bCs/>
          <w:sz w:val="20"/>
          <w:szCs w:val="18"/>
        </w:rPr>
      </w:pPr>
      <w:r w:rsidRPr="007F3291">
        <w:rPr>
          <w:b/>
          <w:bCs/>
          <w:sz w:val="20"/>
          <w:szCs w:val="18"/>
        </w:rPr>
        <w:t>Modalità di consegna della documentazione</w:t>
      </w:r>
    </w:p>
    <w:p w:rsidR="00CB1C0B" w:rsidRPr="007F3291" w:rsidRDefault="00CB1C0B" w:rsidP="00CB1C0B">
      <w:pPr>
        <w:rPr>
          <w:sz w:val="20"/>
          <w:szCs w:val="18"/>
        </w:rPr>
      </w:pPr>
      <w:r w:rsidRPr="007F3291">
        <w:rPr>
          <w:sz w:val="20"/>
          <w:szCs w:val="18"/>
        </w:rPr>
        <w:t>Il rispetto da parte dell’appaltatore dei requisiti di cui al presente capitolo dovrà risultare dalla consegna alla Direzione Lavori della documentazione tecnica idonea ad attestare la soddisfazione dei requisiti stessi.</w:t>
      </w:r>
    </w:p>
    <w:p w:rsidR="00CB1C0B" w:rsidRPr="007F3291" w:rsidRDefault="00CB1C0B" w:rsidP="00CB1C0B">
      <w:pPr>
        <w:rPr>
          <w:sz w:val="20"/>
          <w:szCs w:val="18"/>
        </w:rPr>
      </w:pPr>
      <w:r w:rsidRPr="007F3291">
        <w:rPr>
          <w:sz w:val="20"/>
          <w:szCs w:val="18"/>
        </w:rPr>
        <w:t>La documentazione sarà trasmessa alla Stazione appaltante in forma elettronica certificata (PEC) o in formato cartaceo, opportunamente protocollata dagli uffici competenti.</w:t>
      </w:r>
    </w:p>
    <w:p w:rsidR="00CB1C0B" w:rsidRPr="007F3291" w:rsidRDefault="00CB1C0B" w:rsidP="00CB1C0B">
      <w:pPr>
        <w:rPr>
          <w:b/>
          <w:bCs/>
          <w:sz w:val="20"/>
          <w:szCs w:val="18"/>
        </w:rPr>
      </w:pPr>
    </w:p>
    <w:p w:rsidR="00CB1C0B" w:rsidRPr="007F3291" w:rsidRDefault="00CB1C0B" w:rsidP="00CB1C0B">
      <w:pPr>
        <w:rPr>
          <w:b/>
          <w:bCs/>
          <w:sz w:val="20"/>
          <w:szCs w:val="18"/>
        </w:rPr>
      </w:pPr>
      <w:r w:rsidRPr="007F3291">
        <w:rPr>
          <w:b/>
          <w:bCs/>
          <w:sz w:val="20"/>
          <w:szCs w:val="18"/>
        </w:rPr>
        <w:t>Verifica dell’appaltatore</w:t>
      </w:r>
    </w:p>
    <w:p w:rsidR="00CB1C0B" w:rsidRPr="007F3291" w:rsidRDefault="00CB1C0B" w:rsidP="00CB1C0B">
      <w:pPr>
        <w:rPr>
          <w:sz w:val="20"/>
          <w:szCs w:val="18"/>
        </w:rPr>
      </w:pPr>
      <w:r w:rsidRPr="007F3291">
        <w:rPr>
          <w:sz w:val="20"/>
          <w:szCs w:val="18"/>
        </w:rPr>
        <w:t>L’appaltatore dovrà:</w:t>
      </w:r>
    </w:p>
    <w:p w:rsidR="00CB1C0B" w:rsidRPr="007F3291" w:rsidRDefault="00CB1C0B" w:rsidP="00CB1C0B">
      <w:pPr>
        <w:widowControl/>
        <w:numPr>
          <w:ilvl w:val="0"/>
          <w:numId w:val="66"/>
        </w:numPr>
        <w:spacing w:after="160" w:line="20" w:lineRule="atLeast"/>
        <w:ind w:left="714" w:hanging="357"/>
        <w:jc w:val="left"/>
        <w:rPr>
          <w:sz w:val="20"/>
          <w:szCs w:val="18"/>
        </w:rPr>
      </w:pPr>
      <w:r w:rsidRPr="007F3291">
        <w:rPr>
          <w:sz w:val="20"/>
          <w:szCs w:val="18"/>
        </w:rPr>
        <w:t>raccogliere e trasmettere prima della fornitura la documentazione tecnica dei prodotti;</w:t>
      </w:r>
    </w:p>
    <w:p w:rsidR="00CB1C0B" w:rsidRPr="007F3291" w:rsidRDefault="00CB1C0B" w:rsidP="00CB1C0B">
      <w:pPr>
        <w:widowControl/>
        <w:numPr>
          <w:ilvl w:val="0"/>
          <w:numId w:val="66"/>
        </w:numPr>
        <w:spacing w:after="160" w:line="20" w:lineRule="atLeast"/>
        <w:ind w:left="714" w:hanging="357"/>
        <w:jc w:val="left"/>
        <w:rPr>
          <w:sz w:val="20"/>
          <w:szCs w:val="18"/>
        </w:rPr>
      </w:pPr>
      <w:r w:rsidRPr="007F3291">
        <w:rPr>
          <w:sz w:val="20"/>
          <w:szCs w:val="18"/>
        </w:rPr>
        <w:t>presentare, ove richiesto, certificazioni ambientali, EPD, rapporti di prova e dichiarazioni del produttore;</w:t>
      </w:r>
    </w:p>
    <w:p w:rsidR="00CB1C0B" w:rsidRPr="007F3291" w:rsidRDefault="00CB1C0B" w:rsidP="00CB1C0B">
      <w:pPr>
        <w:widowControl/>
        <w:numPr>
          <w:ilvl w:val="0"/>
          <w:numId w:val="66"/>
        </w:numPr>
        <w:spacing w:after="160" w:line="20" w:lineRule="atLeast"/>
        <w:ind w:left="714" w:hanging="357"/>
        <w:jc w:val="left"/>
        <w:rPr>
          <w:sz w:val="20"/>
          <w:szCs w:val="18"/>
        </w:rPr>
      </w:pPr>
      <w:r w:rsidRPr="007F3291">
        <w:rPr>
          <w:sz w:val="20"/>
          <w:szCs w:val="18"/>
        </w:rPr>
        <w:t>garantire la tracciabilità dei materiali effettivamente impiegati;</w:t>
      </w:r>
    </w:p>
    <w:p w:rsidR="00CB1C0B" w:rsidRPr="007F3291" w:rsidRDefault="00CB1C0B" w:rsidP="00CB1C0B">
      <w:pPr>
        <w:widowControl/>
        <w:numPr>
          <w:ilvl w:val="0"/>
          <w:numId w:val="66"/>
        </w:numPr>
        <w:spacing w:after="160" w:line="20" w:lineRule="atLeast"/>
        <w:ind w:left="714" w:hanging="357"/>
        <w:jc w:val="left"/>
        <w:rPr>
          <w:sz w:val="20"/>
          <w:szCs w:val="18"/>
        </w:rPr>
      </w:pPr>
      <w:r w:rsidRPr="007F3291">
        <w:rPr>
          <w:sz w:val="20"/>
          <w:szCs w:val="18"/>
        </w:rPr>
        <w:t>rendere disponibile la documentazione per i controlli della Direzione Lavori e della Stazione appaltante.</w:t>
      </w:r>
    </w:p>
    <w:p w:rsidR="00CB1C0B" w:rsidRPr="00C749CF" w:rsidRDefault="00CB1C0B" w:rsidP="00F252A3">
      <w:pPr>
        <w:jc w:val="center"/>
        <w:rPr>
          <w:rFonts w:cs="Arial"/>
          <w:b/>
          <w:color w:val="EE0000"/>
          <w:sz w:val="20"/>
        </w:rPr>
      </w:pPr>
    </w:p>
    <w:p w:rsidR="00F252A3" w:rsidRPr="00484DB6" w:rsidRDefault="00F252A3" w:rsidP="00F252A3">
      <w:pPr>
        <w:rPr>
          <w:rFonts w:cs="Arial"/>
          <w:b/>
          <w:sz w:val="20"/>
        </w:rPr>
      </w:pPr>
    </w:p>
    <w:p w:rsidR="00F252A3" w:rsidRPr="00484DB6" w:rsidRDefault="00F252A3" w:rsidP="00F252A3">
      <w:pPr>
        <w:spacing w:line="360" w:lineRule="atLeast"/>
        <w:jc w:val="center"/>
        <w:rPr>
          <w:rFonts w:cs="Arial"/>
          <w:b/>
          <w:sz w:val="36"/>
        </w:rPr>
      </w:pPr>
      <w:r w:rsidRPr="00484DB6">
        <w:rPr>
          <w:rFonts w:cs="Arial"/>
        </w:rPr>
        <w:br w:type="page"/>
      </w:r>
      <w:bookmarkStart w:id="17" w:name="33"/>
      <w:bookmarkEnd w:id="17"/>
      <w:r w:rsidRPr="00484DB6">
        <w:rPr>
          <w:rFonts w:cs="Arial"/>
          <w:b/>
          <w:sz w:val="36"/>
        </w:rPr>
        <w:lastRenderedPageBreak/>
        <w:t>CAPITOLO 4</w:t>
      </w:r>
    </w:p>
    <w:p w:rsidR="00F252A3" w:rsidRPr="00484DB6" w:rsidRDefault="00F252A3" w:rsidP="00457373">
      <w:pPr>
        <w:rPr>
          <w:rFonts w:cs="Arial"/>
          <w:b/>
        </w:rPr>
      </w:pPr>
    </w:p>
    <w:p w:rsidR="00F252A3" w:rsidRPr="00484DB6" w:rsidRDefault="00F252A3" w:rsidP="00F252A3">
      <w:pPr>
        <w:spacing w:line="360" w:lineRule="atLeast"/>
        <w:jc w:val="center"/>
        <w:rPr>
          <w:rFonts w:cs="Arial"/>
          <w:b/>
        </w:rPr>
      </w:pPr>
      <w:r w:rsidRPr="00484DB6">
        <w:rPr>
          <w:rFonts w:cs="Arial"/>
          <w:b/>
        </w:rPr>
        <w:t>MODO DI ESECUZIONE DI OGNI CATEGORIA DI LAVORO</w:t>
      </w:r>
    </w:p>
    <w:p w:rsidR="00F252A3" w:rsidRPr="00484DB6" w:rsidRDefault="00F252A3" w:rsidP="00F252A3">
      <w:pPr>
        <w:jc w:val="center"/>
        <w:rPr>
          <w:rFonts w:cs="Arial"/>
          <w:b/>
          <w:sz w:val="20"/>
        </w:rPr>
      </w:pPr>
      <w:r w:rsidRPr="00484DB6">
        <w:rPr>
          <w:rFonts w:cs="Arial"/>
          <w:b/>
          <w:sz w:val="20"/>
        </w:rPr>
        <w:t>Art. 4.1</w:t>
      </w:r>
    </w:p>
    <w:p w:rsidR="00F252A3" w:rsidRPr="00484DB6" w:rsidRDefault="00F252A3" w:rsidP="00F252A3">
      <w:pPr>
        <w:jc w:val="center"/>
        <w:rPr>
          <w:rFonts w:cs="Arial"/>
          <w:sz w:val="20"/>
        </w:rPr>
      </w:pPr>
      <w:r w:rsidRPr="00484DB6">
        <w:rPr>
          <w:rFonts w:cs="Arial"/>
          <w:b/>
          <w:sz w:val="20"/>
        </w:rPr>
        <w:t>OPERE DI SOSTEGNO DEI TERRENI</w:t>
      </w:r>
    </w:p>
    <w:p w:rsidR="00F252A3" w:rsidRPr="00484DB6" w:rsidRDefault="00F252A3" w:rsidP="00F252A3">
      <w:pPr>
        <w:rPr>
          <w:rFonts w:cs="Arial"/>
        </w:rPr>
      </w:pPr>
    </w:p>
    <w:p w:rsidR="00F252A3" w:rsidRPr="00484DB6" w:rsidRDefault="00F252A3" w:rsidP="00F252A3">
      <w:pPr>
        <w:rPr>
          <w:rFonts w:cs="Arial"/>
          <w:sz w:val="20"/>
        </w:rPr>
      </w:pPr>
      <w:bookmarkStart w:id="18" w:name="474"/>
      <w:bookmarkEnd w:id="18"/>
      <w:r w:rsidRPr="00484DB6">
        <w:rPr>
          <w:rFonts w:cs="Arial"/>
          <w:b/>
          <w:sz w:val="20"/>
        </w:rPr>
        <w:t>4.1.1) Generalità</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Le opere di sostegno delle terre sono opere in grado di garantire stabilità ad un fronte di terreno potenzialmente instabile. </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Alcune tra le principali tipologie di opere di sostegno sono le seguenti:</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muri a gravità (in calcestruzzo, muratura, pietrame, gabbionate, ecc.)</w:t>
      </w:r>
    </w:p>
    <w:p w:rsidR="00F252A3" w:rsidRPr="00484DB6" w:rsidRDefault="00F252A3" w:rsidP="00F252A3">
      <w:pPr>
        <w:rPr>
          <w:rFonts w:cs="Arial"/>
          <w:sz w:val="20"/>
        </w:rPr>
      </w:pPr>
      <w:r w:rsidRPr="00484DB6">
        <w:rPr>
          <w:rFonts w:cs="Arial"/>
          <w:sz w:val="20"/>
        </w:rPr>
        <w:t>- muri a mensola, a contrafforti e/o speroni (in calcestruzzo armato)</w:t>
      </w:r>
    </w:p>
    <w:p w:rsidR="00F252A3" w:rsidRPr="00484DB6" w:rsidRDefault="00F252A3" w:rsidP="00F252A3">
      <w:pPr>
        <w:rPr>
          <w:rFonts w:cs="Arial"/>
          <w:sz w:val="20"/>
        </w:rPr>
      </w:pPr>
      <w:r w:rsidRPr="00484DB6">
        <w:rPr>
          <w:rFonts w:cs="Arial"/>
          <w:sz w:val="20"/>
        </w:rPr>
        <w:t xml:space="preserve">- terra rinforzata (o armata) </w:t>
      </w:r>
    </w:p>
    <w:p w:rsidR="00F252A3" w:rsidRPr="00484DB6" w:rsidRDefault="00F252A3" w:rsidP="00F252A3">
      <w:pPr>
        <w:rPr>
          <w:rFonts w:cs="Arial"/>
          <w:sz w:val="20"/>
        </w:rPr>
      </w:pPr>
      <w:r w:rsidRPr="00484DB6">
        <w:rPr>
          <w:rFonts w:cs="Arial"/>
          <w:sz w:val="20"/>
        </w:rPr>
        <w:t>- paratie (palancole e diaframmi)</w:t>
      </w:r>
    </w:p>
    <w:p w:rsidR="00F252A3" w:rsidRPr="00484DB6" w:rsidRDefault="00F252A3" w:rsidP="00F252A3">
      <w:pPr>
        <w:rPr>
          <w:rFonts w:cs="Arial"/>
          <w:sz w:val="20"/>
        </w:rPr>
      </w:pPr>
    </w:p>
    <w:p w:rsidR="00F252A3" w:rsidRPr="00484DB6" w:rsidRDefault="00F252A3" w:rsidP="00F252A3">
      <w:pPr>
        <w:ind w:firstLine="142"/>
        <w:rPr>
          <w:rFonts w:cs="Arial"/>
          <w:sz w:val="20"/>
        </w:rPr>
      </w:pPr>
      <w:r w:rsidRPr="00484DB6">
        <w:rPr>
          <w:rFonts w:cs="Arial"/>
          <w:sz w:val="20"/>
        </w:rPr>
        <w:t>I più comuni tipi di muri di sostegno possono essere suddivisi dal punto di vista costruttivo in:</w:t>
      </w:r>
    </w:p>
    <w:p w:rsidR="00F252A3" w:rsidRPr="00484DB6" w:rsidRDefault="00F252A3" w:rsidP="00F252A3">
      <w:pPr>
        <w:numPr>
          <w:ilvl w:val="0"/>
          <w:numId w:val="54"/>
        </w:numPr>
        <w:autoSpaceDE w:val="0"/>
        <w:autoSpaceDN w:val="0"/>
        <w:adjustRightInd w:val="0"/>
        <w:ind w:left="850" w:hanging="425"/>
        <w:rPr>
          <w:rFonts w:cs="Arial"/>
          <w:sz w:val="20"/>
        </w:rPr>
      </w:pPr>
      <w:r w:rsidRPr="00484DB6">
        <w:rPr>
          <w:rFonts w:cs="Arial"/>
          <w:sz w:val="20"/>
        </w:rPr>
        <w:t xml:space="preserve">muri di pietrame a secco eventualmente sistemato a gabbioni; </w:t>
      </w:r>
    </w:p>
    <w:p w:rsidR="00F252A3" w:rsidRPr="00484DB6" w:rsidRDefault="00F252A3" w:rsidP="00F252A3">
      <w:pPr>
        <w:numPr>
          <w:ilvl w:val="0"/>
          <w:numId w:val="54"/>
        </w:numPr>
        <w:autoSpaceDE w:val="0"/>
        <w:autoSpaceDN w:val="0"/>
        <w:adjustRightInd w:val="0"/>
        <w:ind w:left="850" w:hanging="425"/>
        <w:rPr>
          <w:rFonts w:cs="Arial"/>
          <w:sz w:val="20"/>
        </w:rPr>
      </w:pPr>
      <w:r w:rsidRPr="00484DB6">
        <w:rPr>
          <w:rFonts w:cs="Arial"/>
          <w:sz w:val="20"/>
        </w:rPr>
        <w:t xml:space="preserve">muri di muratura ordinaria o di conglomerato cementizio; </w:t>
      </w:r>
    </w:p>
    <w:p w:rsidR="00F252A3" w:rsidRPr="00484DB6" w:rsidRDefault="00F252A3" w:rsidP="00F252A3">
      <w:pPr>
        <w:numPr>
          <w:ilvl w:val="0"/>
          <w:numId w:val="54"/>
        </w:numPr>
        <w:autoSpaceDE w:val="0"/>
        <w:autoSpaceDN w:val="0"/>
        <w:adjustRightInd w:val="0"/>
        <w:ind w:left="850" w:hanging="425"/>
        <w:rPr>
          <w:rFonts w:cs="Arial"/>
          <w:sz w:val="20"/>
        </w:rPr>
      </w:pPr>
      <w:r w:rsidRPr="00484DB6">
        <w:rPr>
          <w:rFonts w:cs="Arial"/>
          <w:sz w:val="20"/>
        </w:rPr>
        <w:t xml:space="preserve">muri di conglomerato cementizio armato, formati generalmente da una soletta di fondazione e da una parete con o senza contrafforti; </w:t>
      </w:r>
    </w:p>
    <w:p w:rsidR="00F252A3" w:rsidRPr="00484DB6" w:rsidRDefault="00F252A3" w:rsidP="00F252A3">
      <w:pPr>
        <w:numPr>
          <w:ilvl w:val="0"/>
          <w:numId w:val="54"/>
        </w:numPr>
        <w:autoSpaceDE w:val="0"/>
        <w:autoSpaceDN w:val="0"/>
        <w:adjustRightInd w:val="0"/>
        <w:ind w:left="850" w:hanging="425"/>
        <w:rPr>
          <w:rFonts w:cs="Arial"/>
          <w:sz w:val="20"/>
        </w:rPr>
      </w:pPr>
      <w:r w:rsidRPr="00484DB6">
        <w:rPr>
          <w:rFonts w:cs="Arial"/>
          <w:sz w:val="20"/>
        </w:rPr>
        <w:t>speciali muri in terra costituiti da associazione di materiale granulare e armature metalliche ad alta aderenza e da un paramento articolato di pannelli prefabbricati in calcestruzzo.</w:t>
      </w:r>
    </w:p>
    <w:p w:rsidR="00F252A3" w:rsidRPr="00484DB6" w:rsidRDefault="00F252A3" w:rsidP="00F252A3">
      <w:pPr>
        <w:rPr>
          <w:rFonts w:cs="Arial"/>
          <w:sz w:val="20"/>
        </w:rPr>
      </w:pPr>
    </w:p>
    <w:p w:rsidR="00F252A3" w:rsidRPr="00484DB6" w:rsidRDefault="00F252A3" w:rsidP="00F252A3">
      <w:pPr>
        <w:jc w:val="center"/>
        <w:rPr>
          <w:rFonts w:cs="Arial"/>
          <w:sz w:val="20"/>
        </w:rPr>
      </w:pPr>
    </w:p>
    <w:p w:rsidR="00F252A3" w:rsidRPr="00484DB6" w:rsidRDefault="00F252A3" w:rsidP="00F252A3">
      <w:pPr>
        <w:jc w:val="center"/>
        <w:rPr>
          <w:rFonts w:cs="Arial"/>
          <w:sz w:val="20"/>
        </w:rPr>
      </w:pPr>
      <w:r w:rsidRPr="00484DB6">
        <w:rPr>
          <w:rFonts w:cs="Arial"/>
          <w:noProof/>
        </w:rPr>
        <w:drawing>
          <wp:inline distT="0" distB="0" distL="0" distR="0">
            <wp:extent cx="6086475" cy="2124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2124075"/>
                    </a:xfrm>
                    <a:prstGeom prst="rect">
                      <a:avLst/>
                    </a:prstGeom>
                    <a:noFill/>
                    <a:ln>
                      <a:noFill/>
                    </a:ln>
                  </pic:spPr>
                </pic:pic>
              </a:graphicData>
            </a:graphic>
          </wp:inline>
        </w:drawing>
      </w:r>
    </w:p>
    <w:p w:rsidR="00F252A3" w:rsidRPr="00484DB6" w:rsidRDefault="00F252A3" w:rsidP="00F252A3">
      <w:pPr>
        <w:jc w:val="center"/>
        <w:rPr>
          <w:rFonts w:cs="Arial"/>
          <w:sz w:val="20"/>
        </w:rPr>
      </w:pPr>
      <w:r w:rsidRPr="00484DB6">
        <w:rPr>
          <w:rFonts w:cs="Arial"/>
          <w:b/>
          <w:sz w:val="20"/>
        </w:rPr>
        <w:t>esempi di muri a gravità</w:t>
      </w:r>
    </w:p>
    <w:p w:rsidR="00F252A3" w:rsidRPr="00484DB6" w:rsidRDefault="00F252A3" w:rsidP="00F252A3">
      <w:pPr>
        <w:jc w:val="center"/>
        <w:rPr>
          <w:rFonts w:cs="Arial"/>
          <w:sz w:val="20"/>
        </w:rPr>
      </w:pPr>
    </w:p>
    <w:p w:rsidR="00F252A3" w:rsidRPr="00484DB6" w:rsidRDefault="00F252A3" w:rsidP="00F252A3">
      <w:pPr>
        <w:jc w:val="center"/>
        <w:rPr>
          <w:rFonts w:cs="Arial"/>
          <w:sz w:val="20"/>
        </w:rPr>
      </w:pPr>
      <w:r w:rsidRPr="00484DB6">
        <w:rPr>
          <w:rFonts w:cs="Arial"/>
          <w:noProof/>
        </w:rPr>
        <w:drawing>
          <wp:inline distT="0" distB="0" distL="0" distR="0">
            <wp:extent cx="6115050" cy="21050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inline>
        </w:drawing>
      </w:r>
    </w:p>
    <w:p w:rsidR="00F252A3" w:rsidRPr="00484DB6" w:rsidRDefault="00F252A3" w:rsidP="00F252A3">
      <w:pPr>
        <w:jc w:val="center"/>
        <w:rPr>
          <w:rFonts w:cs="Arial"/>
          <w:sz w:val="20"/>
        </w:rPr>
      </w:pPr>
      <w:r w:rsidRPr="00484DB6">
        <w:rPr>
          <w:rFonts w:cs="Arial"/>
          <w:b/>
          <w:sz w:val="20"/>
        </w:rPr>
        <w:lastRenderedPageBreak/>
        <w:t>esempi di muri a mensola</w:t>
      </w:r>
    </w:p>
    <w:p w:rsidR="007F3291" w:rsidRDefault="007F3291" w:rsidP="00F252A3">
      <w:pPr>
        <w:rPr>
          <w:rFonts w:cs="Arial"/>
          <w:vanish/>
          <w:sz w:val="14"/>
        </w:rPr>
      </w:pPr>
      <w:bookmarkStart w:id="19" w:name="475"/>
      <w:bookmarkEnd w:id="19"/>
    </w:p>
    <w:p w:rsidR="00F252A3" w:rsidRPr="00484DB6" w:rsidRDefault="00F252A3" w:rsidP="00F252A3">
      <w:pPr>
        <w:rPr>
          <w:rFonts w:cs="Arial"/>
          <w:b/>
          <w:sz w:val="20"/>
        </w:rPr>
      </w:pPr>
      <w:r w:rsidRPr="00484DB6">
        <w:rPr>
          <w:rFonts w:cs="Arial"/>
          <w:b/>
          <w:sz w:val="20"/>
        </w:rPr>
        <w:t>4.1.2) Requisiti di stabilità</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Il muro di sostegno dovrà offrire un'efficace risposta alla spinta delle terre, a quella dovuta all'acqua e ad eventuali spinte indotte da sovraccarichi superiori </w:t>
      </w:r>
      <w:proofErr w:type="spellStart"/>
      <w:r w:rsidRPr="00484DB6">
        <w:rPr>
          <w:rFonts w:cs="Arial"/>
          <w:sz w:val="20"/>
        </w:rPr>
        <w:t>nonchè</w:t>
      </w:r>
      <w:proofErr w:type="spellEnd"/>
      <w:r w:rsidRPr="00484DB6">
        <w:rPr>
          <w:rFonts w:cs="Arial"/>
          <w:sz w:val="20"/>
        </w:rPr>
        <w:t xml:space="preserve"> rispondere a tutti i requisiti statici richiesti dalla normativa vigente ed in particolare alle seguenti verifiche:</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xml:space="preserve">- VERIFICA ALLO SCORRIMENTO SUL PIANO DI POSA </w:t>
      </w:r>
    </w:p>
    <w:p w:rsidR="00F252A3" w:rsidRPr="00484DB6" w:rsidRDefault="00F252A3" w:rsidP="00F252A3">
      <w:pPr>
        <w:rPr>
          <w:rFonts w:cs="Arial"/>
          <w:sz w:val="20"/>
        </w:rPr>
      </w:pPr>
      <w:r w:rsidRPr="00484DB6">
        <w:rPr>
          <w:rFonts w:cs="Arial"/>
          <w:sz w:val="20"/>
        </w:rPr>
        <w:t>Per la sicurezza lungo il piano di posa del muro, il rapporto fra la somma delle forze resistenti, calcolate con i coefficienti della Tabella 6.5.I del DM 17/01/2018, con riferimento all’approccio geotecnico di tipo 2 (A1+M1+R3), nella direzione dello slittamento e la somma delle componenti nella stessa direzione delle azioni sul muro deve risultare non inferiore a 1,0.</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xml:space="preserve">- VERIFICA AL RIBALTAMENTO DEL MURO </w:t>
      </w:r>
    </w:p>
    <w:p w:rsidR="00F252A3" w:rsidRPr="00484DB6" w:rsidRDefault="00F252A3" w:rsidP="00F252A3">
      <w:pPr>
        <w:rPr>
          <w:rFonts w:cs="Arial"/>
          <w:sz w:val="20"/>
        </w:rPr>
      </w:pPr>
      <w:r w:rsidRPr="00484DB6">
        <w:rPr>
          <w:rFonts w:cs="Arial"/>
          <w:sz w:val="20"/>
        </w:rPr>
        <w:t>Lo stato limite di ribaltamento non prevede la mobilitazione della resistenza del terreno antistante il muro. Per la verifica di sicurezza si assume come punto di rotazione l’estremo alla base della fondazione più a monte. Il rapporto tra il momento delle forze stabilizzanti e quello delle forze ribaltanti, calcolate con i coefficienti della Tabella 6.5.I del DM 17/01/2018, con riferimento all’approccio geotecnico di tipo 2 (A1+M1+R3), non deve risultare minore di 1,0.</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xml:space="preserve">- VERIFICA AL CARICO LIMITE DELL'INSIEME FONDAZIONE-TERRENO </w:t>
      </w:r>
    </w:p>
    <w:p w:rsidR="00F252A3" w:rsidRPr="00484DB6" w:rsidRDefault="00F252A3" w:rsidP="00F252A3">
      <w:pPr>
        <w:rPr>
          <w:rFonts w:cs="Arial"/>
          <w:sz w:val="20"/>
        </w:rPr>
      </w:pPr>
      <w:r w:rsidRPr="00484DB6">
        <w:rPr>
          <w:rFonts w:cs="Arial"/>
          <w:sz w:val="20"/>
        </w:rPr>
        <w:t xml:space="preserve">Questa verifica deve essere eseguita secondo quanto prescritto nel §6.5.3.1.1 del DM 17/01/2018, con riferimento all’approccio geotecnico di tipo 2 (A1+M1+R3), tenendo conto dell'inclinazione ed eccentricità della risultante delle forze trasmesse dal muro al terreno di fondazione. Il coefficiente di sicurezza non dovrà risultare minore di 1. </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xml:space="preserve">- VERIFICA DI STABILITÀ GLOBALE </w:t>
      </w:r>
    </w:p>
    <w:p w:rsidR="00F252A3" w:rsidRPr="00484DB6" w:rsidRDefault="00F252A3" w:rsidP="00F252A3">
      <w:pPr>
        <w:widowControl/>
        <w:rPr>
          <w:rFonts w:cs="Arial"/>
          <w:sz w:val="20"/>
        </w:rPr>
      </w:pPr>
      <w:r w:rsidRPr="00484DB6">
        <w:rPr>
          <w:rFonts w:cs="Arial"/>
          <w:sz w:val="20"/>
        </w:rPr>
        <w:t>La verifica di stabilità globale del complesso opera di sostegno-terreno deve essere effettuata secondo l’Approccio 1 - Combinazione 2 (A2+M2+R2), tenendo conto dei coefficienti parziali riportati nelle Tabelle 6.2.I e 6.2.II per le azioni e i parametri geotecnici e nella Tabella 6.8.I del DM 17/01/2018 per le verifiche di sicurezza di opere di materiali sciolti e fronti di scavo. Il coefficiente di sicurezza non dovrà risultare inferiore ad 1,0.</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I materiali costituenti i manufatti dovranno essere posti in opera a strati e costipati per ottenere caratteristiche fisico-meccaniche in accordo con i requisiti progettuali. Al riguardo devono essere indicate in progetto le prescrizioni relative alla posa in opera precisando i controlli da eseguire durante la costruzione ed i limiti di accettabilità dei materiali.</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L'opera di sostegno dovrà essere realizzata secondo tutte le prescrizioni dimensionali e strutturali indicate in progetto, secondo le seguenti tipologie: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vanish/>
          <w:sz w:val="14"/>
        </w:rPr>
        <w:t>#{GUID_80AB9F66-4184-4FD9-9C08-FB0EB8482A1D|LIVELLO_3|TESTO_Muri di sostegno a mensola_END}&amp;</w:t>
      </w:r>
      <w:bookmarkStart w:id="20" w:name="478"/>
      <w:bookmarkEnd w:id="20"/>
      <w:r w:rsidRPr="00484DB6">
        <w:rPr>
          <w:rFonts w:cs="Arial"/>
          <w:b/>
          <w:sz w:val="20"/>
        </w:rPr>
        <w:t>4.1.3) Muro di sostegno a mensola</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 muri di sostegno a mensola e a contrafforti e speroni sfruttano, contrariamente ai muri a gravità, anche il peso del terreno che grava sulle parti strutturali (es. la fondazione) per la stabilità al ribaltamento ed alla traslazione orizzontale. Le diverse parti della struttura (fondazione e pareti) tuttavia sono armate in modo da resistere anche a flessione e taglio. </w:t>
      </w:r>
    </w:p>
    <w:p w:rsidR="00F252A3" w:rsidRPr="00484DB6" w:rsidRDefault="00F252A3" w:rsidP="00F252A3">
      <w:pPr>
        <w:rPr>
          <w:rFonts w:cs="Arial"/>
          <w:sz w:val="20"/>
        </w:rPr>
      </w:pPr>
    </w:p>
    <w:p w:rsidR="00F252A3" w:rsidRPr="00484DB6" w:rsidRDefault="00F252A3" w:rsidP="00F252A3">
      <w:pPr>
        <w:jc w:val="center"/>
        <w:rPr>
          <w:rFonts w:cs="Arial"/>
          <w:sz w:val="20"/>
        </w:rPr>
      </w:pPr>
      <w:r w:rsidRPr="00484DB6">
        <w:rPr>
          <w:rFonts w:cs="Arial"/>
          <w:noProof/>
        </w:rPr>
        <w:lastRenderedPageBreak/>
        <w:drawing>
          <wp:inline distT="0" distB="0" distL="0" distR="0">
            <wp:extent cx="3257550" cy="42005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200525"/>
                    </a:xfrm>
                    <a:prstGeom prst="rect">
                      <a:avLst/>
                    </a:prstGeom>
                    <a:noFill/>
                    <a:ln>
                      <a:noFill/>
                    </a:ln>
                  </pic:spPr>
                </pic:pic>
              </a:graphicData>
            </a:graphic>
          </wp:inline>
        </w:drawing>
      </w:r>
    </w:p>
    <w:p w:rsidR="00F252A3" w:rsidRPr="00484DB6" w:rsidRDefault="00F252A3" w:rsidP="00F252A3">
      <w:pPr>
        <w:ind w:firstLine="284"/>
        <w:rPr>
          <w:rFonts w:cs="Arial"/>
          <w:sz w:val="20"/>
        </w:rPr>
      </w:pPr>
      <w:r w:rsidRPr="00484DB6">
        <w:rPr>
          <w:rFonts w:cs="Arial"/>
          <w:sz w:val="20"/>
        </w:rPr>
        <w:t>I muri a contrafforti e speroni, essendo strutture scatolari, composte da lastre incastrate su tre lati, consentono un migliore sfruttamento dei materiali e sono quindi preferiti per i muri di grande altezza.</w:t>
      </w:r>
    </w:p>
    <w:p w:rsidR="00F252A3" w:rsidRPr="00484DB6" w:rsidRDefault="00F252A3" w:rsidP="00F252A3">
      <w:pPr>
        <w:ind w:firstLine="284"/>
        <w:rPr>
          <w:rFonts w:cs="Arial"/>
          <w:strike/>
          <w:sz w:val="20"/>
        </w:rPr>
      </w:pPr>
    </w:p>
    <w:p w:rsidR="00F252A3" w:rsidRPr="00484DB6" w:rsidRDefault="00F252A3" w:rsidP="00F252A3">
      <w:pPr>
        <w:rPr>
          <w:rFonts w:cs="Arial"/>
          <w:b/>
          <w:sz w:val="20"/>
        </w:rPr>
      </w:pPr>
      <w:bookmarkStart w:id="21" w:name="479"/>
      <w:bookmarkEnd w:id="21"/>
      <w:r w:rsidRPr="00484DB6">
        <w:rPr>
          <w:rFonts w:cs="Arial"/>
          <w:b/>
          <w:sz w:val="20"/>
        </w:rPr>
        <w:t>4.1.4) Drenaggio</w:t>
      </w:r>
    </w:p>
    <w:p w:rsidR="00F252A3" w:rsidRPr="00484DB6" w:rsidRDefault="00F252A3" w:rsidP="00F252A3">
      <w:pPr>
        <w:rPr>
          <w:rFonts w:cs="Arial"/>
          <w:b/>
          <w:sz w:val="20"/>
        </w:rPr>
      </w:pPr>
    </w:p>
    <w:p w:rsidR="00F252A3" w:rsidRPr="00484DB6" w:rsidRDefault="00F252A3" w:rsidP="00F252A3">
      <w:pPr>
        <w:ind w:firstLine="284"/>
        <w:rPr>
          <w:rFonts w:cs="Arial"/>
          <w:sz w:val="20"/>
        </w:rPr>
      </w:pPr>
      <w:r w:rsidRPr="00484DB6">
        <w:rPr>
          <w:rFonts w:cs="Arial"/>
          <w:sz w:val="20"/>
        </w:rPr>
        <w:t>I muri di sostegno, dopo la loro realizzazione, necessitano di un riempimento del terrapieno di monte, la cui quantità dipende dalla forma della scarpata e dalle dimensioni geometriche del muro. Lo spessore del rinterro dipende dalla tipologia del muro: spessori maggiori sono richiesti per muri a mensola, mentre per muri a gravità lo spessore del rinterro è di solito minore.</w:t>
      </w:r>
    </w:p>
    <w:p w:rsidR="00F252A3" w:rsidRPr="00484DB6" w:rsidRDefault="00F252A3" w:rsidP="00F252A3">
      <w:pPr>
        <w:ind w:firstLine="284"/>
        <w:rPr>
          <w:rFonts w:cs="Arial"/>
          <w:sz w:val="20"/>
        </w:rPr>
      </w:pPr>
      <w:r w:rsidRPr="00484DB6">
        <w:rPr>
          <w:rFonts w:cs="Arial"/>
          <w:sz w:val="20"/>
        </w:rPr>
        <w:t xml:space="preserve">L'eventuale presenza di acqua a monte del muro contribuisce ad aumentare la pressione laterale sul muro stesso: sarà quindi necessario predisporre, specialmente in tali casi, un idoneo sistema di drenaggio. </w:t>
      </w:r>
    </w:p>
    <w:p w:rsidR="00F252A3" w:rsidRPr="00484DB6" w:rsidRDefault="00F252A3" w:rsidP="00F252A3">
      <w:pPr>
        <w:ind w:firstLine="284"/>
        <w:rPr>
          <w:rFonts w:cs="Arial"/>
          <w:sz w:val="20"/>
        </w:rPr>
      </w:pPr>
      <w:r w:rsidRPr="00484DB6">
        <w:rPr>
          <w:rFonts w:cs="Arial"/>
          <w:sz w:val="20"/>
        </w:rPr>
        <w:t>La scelta del tipo di drenaggio più idoneo è da porsi in relazione con il tipo di terreno da contenere, le precipitazioni atmosferiche, la presenza di falda idrica e la possibilità che si formi ghiaccio. La mancanza di un efficiente sistema di drenaggio è concausa di crolli dei muri di sostegno, quindi è auspicabile rendere impermeabile, per quanto possibile, il piano superiore del terrapieno per evitare infiltrazioni di acque meteoriche; predisporre un drenaggio inclinato per ridurre al minimo la sovrapressione idrostatica; utilizzare materiale permeabile per la parte di rinterro a contatto con il muro.</w:t>
      </w:r>
    </w:p>
    <w:p w:rsidR="00F252A3" w:rsidRPr="00484DB6" w:rsidRDefault="00F252A3" w:rsidP="00F252A3">
      <w:pPr>
        <w:ind w:firstLine="284"/>
        <w:rPr>
          <w:rFonts w:cs="Arial"/>
          <w:sz w:val="20"/>
        </w:rPr>
      </w:pPr>
      <w:r w:rsidRPr="00484DB6">
        <w:rPr>
          <w:rFonts w:cs="Arial"/>
          <w:sz w:val="20"/>
        </w:rPr>
        <w:t>Considerato che dietro il muro l'accumulo di acqua incrementa notevolmente il peso specifico del terreno (e quindi, la pressione laterale agente sul muro), risulta necessario porre particolare attenzione alla scelta del tipo di materiale impiegato ed alle modalità esecutive del terrapieno posizionato a monte del muro. Pertanto, è opportuno realizzare un sistema di drenaggio, capace di abbattere, o quanto meno ridurre al minimo, il valore della spinta dovuta alla pressione nel terreno, con dei fori di drenaggio lungo il muro e con l'utilizzo di terreni di riempimento dotati di elevata permeabilità, costituiti da materiale lapideo, con un'opportuna scelta della pezzatura.</w:t>
      </w:r>
    </w:p>
    <w:p w:rsidR="00F252A3" w:rsidRPr="00484DB6" w:rsidRDefault="00F252A3" w:rsidP="00F252A3">
      <w:pPr>
        <w:ind w:firstLine="284"/>
        <w:rPr>
          <w:rFonts w:cs="Arial"/>
          <w:sz w:val="20"/>
        </w:rPr>
      </w:pPr>
      <w:r w:rsidRPr="00484DB6">
        <w:rPr>
          <w:rFonts w:cs="Arial"/>
          <w:sz w:val="20"/>
        </w:rPr>
        <w:t>Per ridurre l’intensità della spinta, ed in particolare della sua componente orizzontale, è opportuno utilizzare terreni di riempimento sabbiosi e ghiaiosi, caratterizzati da un alto valore dell’angolo di resistenza al taglio. Per limitare l’influenza sulla spinta del terreno naturale in sito dietro il muro ed il suo riempimento, il pendio che si realizza con lo sbancamento deve avere una pendenza debole o addolcita.</w:t>
      </w:r>
    </w:p>
    <w:p w:rsidR="00F252A3" w:rsidRPr="00484DB6" w:rsidRDefault="00F252A3" w:rsidP="00F252A3">
      <w:pPr>
        <w:ind w:firstLine="284"/>
        <w:rPr>
          <w:rFonts w:cs="Arial"/>
          <w:sz w:val="20"/>
        </w:rPr>
      </w:pPr>
      <w:r w:rsidRPr="00484DB6">
        <w:rPr>
          <w:rFonts w:cs="Arial"/>
          <w:sz w:val="20"/>
        </w:rPr>
        <w:lastRenderedPageBreak/>
        <w:t>I sistemi di drenaggio più utilizzati sono:</w:t>
      </w:r>
    </w:p>
    <w:p w:rsidR="00F252A3" w:rsidRPr="00484DB6" w:rsidRDefault="00F252A3" w:rsidP="00F252A3">
      <w:pPr>
        <w:rPr>
          <w:rFonts w:cs="Arial"/>
          <w:sz w:val="20"/>
        </w:rPr>
      </w:pPr>
      <w:r w:rsidRPr="00484DB6">
        <w:rPr>
          <w:rFonts w:cs="Arial"/>
          <w:sz w:val="20"/>
        </w:rPr>
        <w:t>- fori di drenaggio, di 10÷15 cm di diametro e interasse 2÷4 m, muniti di rete reps o di filtro, disposti a quinconce su tutta l’altezza del muro, con maggiore densità nella parte inferiore;</w:t>
      </w:r>
    </w:p>
    <w:p w:rsidR="00F252A3" w:rsidRPr="00484DB6" w:rsidRDefault="00F252A3" w:rsidP="00F252A3">
      <w:pPr>
        <w:rPr>
          <w:rFonts w:cs="Arial"/>
          <w:sz w:val="20"/>
        </w:rPr>
      </w:pPr>
      <w:r w:rsidRPr="00484DB6">
        <w:rPr>
          <w:rFonts w:cs="Arial"/>
          <w:sz w:val="20"/>
        </w:rPr>
        <w:t>- materiali drenanti messi in opera dietro il muro, sia verticalmente a contatto diretto con la parete, sia come tappeti drenanti messi in opera sul pendio di terreno naturale prima del riempimento, in modo da abbattere la superficie di falda.</w:t>
      </w:r>
    </w:p>
    <w:p w:rsidR="00F252A3" w:rsidRPr="00484DB6" w:rsidRDefault="00F252A3" w:rsidP="00F252A3">
      <w:pPr>
        <w:ind w:firstLine="284"/>
        <w:rPr>
          <w:rFonts w:cs="Arial"/>
          <w:sz w:val="20"/>
        </w:rPr>
      </w:pPr>
      <w:r w:rsidRPr="00484DB6">
        <w:rPr>
          <w:rFonts w:cs="Arial"/>
          <w:sz w:val="20"/>
        </w:rPr>
        <w:t>Le acque di drenaggio che attraversano il muro, laddove è progettualmente compatibile, possono essere convogliate in una canaletta al piede.</w:t>
      </w:r>
    </w:p>
    <w:p w:rsidR="00F252A3" w:rsidRPr="00484DB6" w:rsidRDefault="00F252A3" w:rsidP="00F252A3">
      <w:pPr>
        <w:ind w:firstLine="284"/>
        <w:rPr>
          <w:rFonts w:cs="Arial"/>
          <w:sz w:val="20"/>
        </w:rPr>
      </w:pPr>
      <w:r w:rsidRPr="00484DB6">
        <w:rPr>
          <w:rFonts w:cs="Arial"/>
          <w:sz w:val="20"/>
        </w:rPr>
        <w:t>Il sistema drenante può essere ulteriormente migliorato con l’inerbimento del pendio in modo da ridurre l’acqua di infiltrazione e con la messa in opera di opportune specie vegetali a radici profonde che, per suzione, riducono il contenuto in acqua del terreno.</w:t>
      </w:r>
    </w:p>
    <w:p w:rsidR="00F252A3" w:rsidRPr="00484DB6" w:rsidRDefault="00F252A3" w:rsidP="00F252A3">
      <w:pPr>
        <w:ind w:firstLine="284"/>
        <w:rPr>
          <w:rFonts w:cs="Arial"/>
          <w:sz w:val="20"/>
        </w:rPr>
      </w:pPr>
      <w:r w:rsidRPr="00484DB6">
        <w:rPr>
          <w:rFonts w:cs="Arial"/>
          <w:sz w:val="20"/>
        </w:rPr>
        <w:t>Il progetto o la Direzione Lavori dovrà chiaramente indicare la scelta dei materiali (naturali od artificiali) tenendo conto dei requisiti richiesti per la funzionalità e le caratteristiche del terreno con il quale il dreno è a contatto. Per i rilevati ed i rinterri a tergo di opere di sostegno sono da preferire le terre a grana media o grossa. Terre a grana fine possono essere impiegate per opere di modesta importanza e quando non sia possibile reperire materiali migliori. Si possono adoperare anche materiali ottenuti dalla frantumazione di rocce. Sono da escludere materiali con forti percentuali di sostanze organiche di qualsiasi tipo e materiali fortemente rigonfiati.</w:t>
      </w:r>
    </w:p>
    <w:p w:rsidR="00F252A3" w:rsidRPr="00484DB6" w:rsidRDefault="00F252A3" w:rsidP="00F252A3">
      <w:pPr>
        <w:ind w:firstLine="284"/>
        <w:rPr>
          <w:rFonts w:cs="Arial"/>
          <w:sz w:val="20"/>
        </w:rPr>
      </w:pPr>
      <w:r w:rsidRPr="00484DB6">
        <w:rPr>
          <w:rFonts w:cs="Arial"/>
          <w:sz w:val="20"/>
        </w:rPr>
        <w:t xml:space="preserve">Il sistema di drenaggio migliore è quello che prevede di predisporre opportuni dreni orizzontali o sub-orizzontali, i quali riducono notevolmente la spinta dell'acqua. I dreni verticali, posizionati a tergo del muro, sono invece più semplici da realizzare e si limitano invece a ridurre sensibilmente il valore della spinta dell'acqua. Un buon drenaggio sarà costituito da materiali permeabili di opportuna granulometria e da un sistema di tubazioni. </w:t>
      </w:r>
      <w:proofErr w:type="spellStart"/>
      <w:r w:rsidRPr="00484DB6">
        <w:rPr>
          <w:rFonts w:cs="Arial"/>
          <w:sz w:val="20"/>
        </w:rPr>
        <w:t>Affinchè</w:t>
      </w:r>
      <w:proofErr w:type="spellEnd"/>
      <w:r w:rsidRPr="00484DB6">
        <w:rPr>
          <w:rFonts w:cs="Arial"/>
          <w:sz w:val="20"/>
        </w:rPr>
        <w:t xml:space="preserve"> i dreni funzionino correttamente, non devono essere contaminati da altro materiale impermeabile, o a bassa permeabilità, e devono stare a contatto con l'aria attraverso i tubi, aventi sezione e pendenza sufficienti a favorire lo smaltimento dell'acqua e di eventuali sedimenti.</w:t>
      </w:r>
    </w:p>
    <w:p w:rsidR="00F252A3" w:rsidRPr="00484DB6" w:rsidRDefault="00F252A3" w:rsidP="00F252A3">
      <w:pPr>
        <w:ind w:firstLine="284"/>
        <w:rPr>
          <w:rFonts w:cs="Arial"/>
          <w:sz w:val="20"/>
        </w:rPr>
      </w:pPr>
      <w:r w:rsidRPr="00484DB6">
        <w:rPr>
          <w:rFonts w:cs="Arial"/>
          <w:sz w:val="20"/>
        </w:rPr>
        <w:t>Qualunque sia il sistema di drenaggio utilizzato, va comunque tenuto in considerazione il problema della collocazione di opportuno materiale filtrante, tipo geotessile, sopra i fori sul lato del terrapieno a monte, in maniera da evitare la fuoriuscita di materiale fine, che comporta l'ostruzione degli stessi fori, non permettendo più la fuoriuscita dell'acqua a tergo del muro.</w:t>
      </w:r>
    </w:p>
    <w:p w:rsidR="00F252A3" w:rsidRPr="00484DB6" w:rsidRDefault="00F252A3" w:rsidP="00F252A3">
      <w:pPr>
        <w:ind w:firstLine="284"/>
        <w:rPr>
          <w:rFonts w:cs="Arial"/>
          <w:sz w:val="20"/>
        </w:rPr>
      </w:pPr>
      <w:r w:rsidRPr="00484DB6">
        <w:rPr>
          <w:rFonts w:cs="Arial"/>
          <w:sz w:val="20"/>
        </w:rPr>
        <w:t>Il costipamento del rinterro, quando previsto, deve essere eseguito secondo quanto prescritto in progetto ovvero dalla Direzione Lavori.</w:t>
      </w:r>
    </w:p>
    <w:p w:rsidR="00F252A3" w:rsidRPr="00484DB6" w:rsidRDefault="00F252A3" w:rsidP="00F252A3">
      <w:pPr>
        <w:ind w:firstLine="284"/>
        <w:rPr>
          <w:rFonts w:cs="Arial"/>
          <w:sz w:val="20"/>
        </w:rPr>
      </w:pPr>
      <w:r w:rsidRPr="00484DB6">
        <w:rPr>
          <w:rFonts w:cs="Arial"/>
          <w:sz w:val="20"/>
        </w:rPr>
        <w:t>La posa in opera senza costipamento è consentita per manufatti di pietrame. Le modalità della posa in opera e del costipamento devono essere considerate in progetto, sia nella definizione della sezione tipo dell'opera, sia nella valutazione delle proprietà fisico-meccaniche dei materiali.</w:t>
      </w:r>
    </w:p>
    <w:p w:rsidR="00F252A3" w:rsidRPr="00484DB6" w:rsidRDefault="00F252A3" w:rsidP="00F252A3">
      <w:pPr>
        <w:rPr>
          <w:rFonts w:cs="Arial"/>
          <w:sz w:val="20"/>
        </w:rPr>
      </w:pPr>
    </w:p>
    <w:p w:rsidR="00F252A3" w:rsidRPr="00484DB6" w:rsidRDefault="00F252A3" w:rsidP="00F252A3">
      <w:pPr>
        <w:jc w:val="center"/>
        <w:rPr>
          <w:rFonts w:cs="Arial"/>
          <w:sz w:val="20"/>
        </w:rPr>
      </w:pPr>
      <w:r w:rsidRPr="00484DB6">
        <w:rPr>
          <w:rFonts w:cs="Arial"/>
          <w:b/>
          <w:sz w:val="20"/>
        </w:rPr>
        <w:t>Art. 4.2</w:t>
      </w:r>
    </w:p>
    <w:p w:rsidR="00F252A3" w:rsidRPr="00484DB6" w:rsidRDefault="00F252A3" w:rsidP="00F252A3">
      <w:pPr>
        <w:jc w:val="center"/>
        <w:rPr>
          <w:rFonts w:cs="Arial"/>
          <w:sz w:val="20"/>
        </w:rPr>
      </w:pPr>
      <w:r w:rsidRPr="00484DB6">
        <w:rPr>
          <w:rFonts w:cs="Arial"/>
          <w:b/>
          <w:sz w:val="20"/>
        </w:rPr>
        <w:t>PARATIE E DIAFRAMMI</w:t>
      </w:r>
    </w:p>
    <w:p w:rsidR="00F252A3" w:rsidRPr="00484DB6" w:rsidRDefault="00F252A3" w:rsidP="00F252A3">
      <w:pPr>
        <w:rPr>
          <w:rFonts w:cs="Arial"/>
          <w:sz w:val="20"/>
        </w:rPr>
      </w:pPr>
    </w:p>
    <w:p w:rsidR="00F252A3" w:rsidRPr="00484DB6" w:rsidRDefault="00F252A3" w:rsidP="00F252A3">
      <w:pPr>
        <w:ind w:right="1" w:firstLine="283"/>
        <w:rPr>
          <w:rFonts w:cs="Arial"/>
          <w:sz w:val="20"/>
        </w:rPr>
      </w:pPr>
      <w:r w:rsidRPr="00484DB6">
        <w:rPr>
          <w:rFonts w:cs="Arial"/>
          <w:sz w:val="20"/>
        </w:rPr>
        <w:t>La paratia e il diaframma sono strutture di fondazione infisse o costruite in opera a partire dalla superficie del terreno a sostegno di scavi o con lo scopo di realizzare tenuta all'acqua.</w:t>
      </w:r>
    </w:p>
    <w:p w:rsidR="00F252A3" w:rsidRPr="00484DB6" w:rsidRDefault="00F252A3" w:rsidP="00F252A3">
      <w:pPr>
        <w:ind w:right="1" w:firstLine="283"/>
        <w:rPr>
          <w:rFonts w:cs="Arial"/>
          <w:sz w:val="20"/>
        </w:rPr>
      </w:pPr>
      <w:r w:rsidRPr="00484DB6">
        <w:rPr>
          <w:rFonts w:cs="Arial"/>
          <w:sz w:val="20"/>
        </w:rPr>
        <w:t>Le paratie ed i diaframmi potranno essere:</w:t>
      </w:r>
    </w:p>
    <w:p w:rsidR="00F252A3" w:rsidRPr="00484DB6" w:rsidRDefault="00F252A3" w:rsidP="00F252A3">
      <w:pPr>
        <w:ind w:left="425" w:right="1" w:hanging="141"/>
        <w:rPr>
          <w:rFonts w:cs="Arial"/>
          <w:sz w:val="20"/>
        </w:rPr>
      </w:pPr>
      <w:r w:rsidRPr="00484DB6">
        <w:rPr>
          <w:rFonts w:cs="Arial"/>
          <w:sz w:val="20"/>
        </w:rPr>
        <w:t>-</w:t>
      </w:r>
      <w:r w:rsidRPr="00484DB6">
        <w:rPr>
          <w:rFonts w:cs="Arial"/>
          <w:sz w:val="20"/>
        </w:rPr>
        <w:tab/>
        <w:t>del tipo a palancole metalliche infisse;</w:t>
      </w:r>
    </w:p>
    <w:p w:rsidR="00F252A3" w:rsidRPr="00484DB6" w:rsidRDefault="00F252A3" w:rsidP="00F252A3">
      <w:pPr>
        <w:ind w:left="425" w:right="1" w:hanging="141"/>
        <w:rPr>
          <w:rFonts w:cs="Arial"/>
          <w:sz w:val="20"/>
        </w:rPr>
      </w:pPr>
      <w:r w:rsidRPr="00484DB6">
        <w:rPr>
          <w:rFonts w:cs="Arial"/>
          <w:sz w:val="20"/>
        </w:rPr>
        <w:t>-</w:t>
      </w:r>
      <w:r w:rsidRPr="00484DB6">
        <w:rPr>
          <w:rFonts w:cs="Arial"/>
          <w:sz w:val="20"/>
        </w:rPr>
        <w:tab/>
        <w:t>del tipo a palancole prefabbricate con calcestruzzo armato centrifugato infisse;</w:t>
      </w:r>
    </w:p>
    <w:p w:rsidR="00F252A3" w:rsidRPr="00484DB6" w:rsidRDefault="00F252A3" w:rsidP="00F252A3">
      <w:pPr>
        <w:ind w:left="425" w:right="1" w:hanging="141"/>
        <w:rPr>
          <w:rFonts w:cs="Arial"/>
          <w:sz w:val="20"/>
        </w:rPr>
      </w:pPr>
      <w:r w:rsidRPr="00484DB6">
        <w:rPr>
          <w:rFonts w:cs="Arial"/>
          <w:sz w:val="20"/>
        </w:rPr>
        <w:t>-</w:t>
      </w:r>
      <w:r w:rsidRPr="00484DB6">
        <w:rPr>
          <w:rFonts w:cs="Arial"/>
          <w:sz w:val="20"/>
        </w:rPr>
        <w:tab/>
        <w:t>del tipo a pali in calcestruzzo armato di grosso diametro accostati;</w:t>
      </w:r>
    </w:p>
    <w:p w:rsidR="00F252A3" w:rsidRPr="00484DB6" w:rsidRDefault="00F252A3" w:rsidP="00F252A3">
      <w:pPr>
        <w:ind w:left="425" w:right="1" w:hanging="141"/>
        <w:rPr>
          <w:rFonts w:cs="Arial"/>
          <w:sz w:val="20"/>
        </w:rPr>
      </w:pPr>
      <w:r w:rsidRPr="00484DB6">
        <w:rPr>
          <w:rFonts w:cs="Arial"/>
          <w:sz w:val="20"/>
        </w:rPr>
        <w:t>-</w:t>
      </w:r>
      <w:r w:rsidRPr="00484DB6">
        <w:rPr>
          <w:rFonts w:cs="Arial"/>
          <w:sz w:val="20"/>
        </w:rPr>
        <w:tab/>
        <w:t>a diaframma gettato in opera di calcestruzzo armato.</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r w:rsidRPr="00484DB6">
        <w:rPr>
          <w:rFonts w:cs="Arial"/>
          <w:b/>
          <w:sz w:val="20"/>
        </w:rPr>
        <w:t>4.2.1) Paratie Costruite in Opera</w:t>
      </w:r>
    </w:p>
    <w:p w:rsidR="00F252A3" w:rsidRPr="00484DB6" w:rsidRDefault="00F252A3" w:rsidP="00F252A3">
      <w:pPr>
        <w:rPr>
          <w:rFonts w:cs="Arial"/>
          <w:sz w:val="20"/>
        </w:rPr>
      </w:pPr>
    </w:p>
    <w:p w:rsidR="00F252A3" w:rsidRPr="00484DB6" w:rsidRDefault="00F252A3" w:rsidP="00F252A3">
      <w:pPr>
        <w:ind w:left="566" w:right="1" w:hanging="283"/>
        <w:rPr>
          <w:rFonts w:cs="Arial"/>
          <w:sz w:val="20"/>
        </w:rPr>
      </w:pPr>
      <w:r w:rsidRPr="00484DB6">
        <w:rPr>
          <w:rFonts w:cs="Arial"/>
          <w:sz w:val="20"/>
        </w:rPr>
        <w:t>a)</w:t>
      </w:r>
      <w:r w:rsidRPr="00484DB6">
        <w:rPr>
          <w:rFonts w:cs="Arial"/>
          <w:sz w:val="20"/>
        </w:rPr>
        <w:tab/>
        <w:t>Paratie a pali in calcestruzzo armato di grosso diametro accostati.</w:t>
      </w:r>
    </w:p>
    <w:p w:rsidR="00F252A3" w:rsidRPr="00484DB6" w:rsidRDefault="00F252A3" w:rsidP="00F252A3">
      <w:pPr>
        <w:ind w:left="566" w:right="1" w:hanging="283"/>
        <w:rPr>
          <w:rFonts w:cs="Arial"/>
          <w:sz w:val="20"/>
        </w:rPr>
      </w:pPr>
      <w:r w:rsidRPr="00484DB6">
        <w:rPr>
          <w:rFonts w:cs="Arial"/>
          <w:sz w:val="20"/>
        </w:rPr>
        <w:tab/>
        <w:t>Dette paratie saranno di norma realizzate mediante pali di calcestruzzo armato eseguiti in opera accostati fra loro e collegati in sommità da un cordolo di calcestruzzo armato.</w:t>
      </w:r>
    </w:p>
    <w:p w:rsidR="00F252A3" w:rsidRPr="00484DB6" w:rsidRDefault="00F252A3" w:rsidP="00F252A3">
      <w:pPr>
        <w:ind w:left="566" w:right="1" w:hanging="283"/>
        <w:rPr>
          <w:rFonts w:cs="Arial"/>
          <w:sz w:val="20"/>
        </w:rPr>
      </w:pPr>
      <w:r w:rsidRPr="00484DB6">
        <w:rPr>
          <w:rFonts w:cs="Arial"/>
          <w:sz w:val="20"/>
        </w:rPr>
        <w:tab/>
        <w:t>Per quanto riguarda le modalità di esecuzione dei pali, si rinvia a quanto fissato nel relativo articolo.</w:t>
      </w:r>
    </w:p>
    <w:p w:rsidR="00F252A3" w:rsidRPr="00484DB6" w:rsidRDefault="00F252A3" w:rsidP="00F252A3">
      <w:pPr>
        <w:ind w:left="566" w:right="1" w:hanging="283"/>
        <w:rPr>
          <w:rFonts w:cs="Arial"/>
          <w:sz w:val="20"/>
        </w:rPr>
      </w:pPr>
      <w:r w:rsidRPr="00484DB6">
        <w:rPr>
          <w:rFonts w:cs="Arial"/>
          <w:sz w:val="20"/>
        </w:rPr>
        <w:tab/>
        <w:t>Nel caso specifico, particolare cura dovrà essere posta nell'accostamento dei pali fra loro e nel mantenere la verticalità dei pali stessi.</w:t>
      </w:r>
    </w:p>
    <w:p w:rsidR="00F252A3" w:rsidRPr="00484DB6" w:rsidRDefault="00F252A3" w:rsidP="00F252A3">
      <w:pPr>
        <w:ind w:left="566" w:right="1" w:hanging="283"/>
        <w:rPr>
          <w:rFonts w:cs="Arial"/>
          <w:sz w:val="20"/>
        </w:rPr>
      </w:pPr>
      <w:r w:rsidRPr="00484DB6">
        <w:rPr>
          <w:rFonts w:cs="Arial"/>
          <w:sz w:val="20"/>
        </w:rPr>
        <w:t>b)</w:t>
      </w:r>
      <w:r w:rsidRPr="00484DB6">
        <w:rPr>
          <w:rFonts w:cs="Arial"/>
          <w:sz w:val="20"/>
        </w:rPr>
        <w:tab/>
        <w:t>Diaframmi in calcestruzzo armato.</w:t>
      </w:r>
    </w:p>
    <w:p w:rsidR="00F252A3" w:rsidRPr="00484DB6" w:rsidRDefault="00F252A3" w:rsidP="00F252A3">
      <w:pPr>
        <w:ind w:left="566" w:right="1" w:hanging="283"/>
        <w:rPr>
          <w:rFonts w:cs="Arial"/>
          <w:sz w:val="20"/>
        </w:rPr>
      </w:pPr>
      <w:r w:rsidRPr="00484DB6">
        <w:rPr>
          <w:rFonts w:cs="Arial"/>
          <w:sz w:val="20"/>
        </w:rPr>
        <w:tab/>
        <w:t>In linea generale i diaframmi saranno costruiti eseguendo lo scavo del terreno a qualsiasi profondità con benna od altro sistema idoneo a dare tratti di scavo (conci) della lunghezza singola di norma non inferiore a 2,50 m.</w:t>
      </w:r>
    </w:p>
    <w:p w:rsidR="00F252A3" w:rsidRPr="00484DB6" w:rsidRDefault="00F252A3" w:rsidP="00F252A3">
      <w:pPr>
        <w:ind w:left="566" w:right="1" w:hanging="283"/>
        <w:rPr>
          <w:rFonts w:cs="Arial"/>
          <w:sz w:val="20"/>
        </w:rPr>
      </w:pPr>
      <w:r w:rsidRPr="00484DB6">
        <w:rPr>
          <w:rFonts w:cs="Arial"/>
          <w:sz w:val="20"/>
        </w:rPr>
        <w:lastRenderedPageBreak/>
        <w:tab/>
        <w:t>Lo scavo verrà eseguito con l'ausilio di fango bentonitico per evacuare i detriti e per il sostegno provvisorio delle pareti.</w:t>
      </w:r>
    </w:p>
    <w:p w:rsidR="00F252A3" w:rsidRPr="00484DB6" w:rsidRDefault="00F252A3" w:rsidP="00F252A3">
      <w:pPr>
        <w:ind w:left="566" w:right="1" w:hanging="283"/>
        <w:rPr>
          <w:rFonts w:cs="Arial"/>
          <w:sz w:val="20"/>
        </w:rPr>
      </w:pPr>
      <w:r w:rsidRPr="00484DB6">
        <w:rPr>
          <w:rFonts w:cs="Arial"/>
          <w:sz w:val="20"/>
        </w:rPr>
        <w:tab/>
        <w:t>I fanghi di bentonite da impiegare nello scavo dovranno essere costituiti di una miscela di bentonite attivata, di ottima qualità, ed acqua, di norma nella proporzione di 8-16 kg di bentonite asciutta per 100 l d'acqua, salvo la facoltà della Direzione dei Lavori di ordinare una diversa dosatura.</w:t>
      </w:r>
    </w:p>
    <w:p w:rsidR="00F252A3" w:rsidRPr="00484DB6" w:rsidRDefault="00F252A3" w:rsidP="00F252A3">
      <w:pPr>
        <w:ind w:left="566" w:right="1" w:hanging="283"/>
        <w:rPr>
          <w:rFonts w:cs="Arial"/>
          <w:sz w:val="20"/>
        </w:rPr>
      </w:pPr>
      <w:r w:rsidRPr="00484DB6">
        <w:rPr>
          <w:rFonts w:cs="Arial"/>
          <w:sz w:val="20"/>
        </w:rPr>
        <w:tab/>
        <w:t>Il contenuto in sabbia finissima dovrà essere inferiore al 3% in massa della bentonite asciutta.</w:t>
      </w:r>
    </w:p>
    <w:p w:rsidR="00F252A3" w:rsidRPr="00484DB6" w:rsidRDefault="00F252A3" w:rsidP="00F252A3">
      <w:pPr>
        <w:ind w:left="566" w:right="1" w:hanging="283"/>
        <w:rPr>
          <w:rFonts w:cs="Arial"/>
          <w:sz w:val="20"/>
        </w:rPr>
      </w:pPr>
      <w:r w:rsidRPr="00484DB6">
        <w:rPr>
          <w:rFonts w:cs="Arial"/>
          <w:sz w:val="20"/>
        </w:rPr>
        <w:tab/>
        <w:t xml:space="preserve">Eseguito lo scavo e posta in opera l'armatura metallica interessante il concio, opportunamente sostenuta e mantenuta in posizione durante il getto, sarà effettuato il getto del conglomerato cementizio con l'ausilio di opportuna prolunga o tubo di getto, la cui estremità inferiore sarà tenuta almeno due metri al di sotto del livello del fango, al fine di provocare il </w:t>
      </w:r>
      <w:proofErr w:type="spellStart"/>
      <w:r w:rsidRPr="00484DB6">
        <w:rPr>
          <w:rFonts w:cs="Arial"/>
          <w:sz w:val="20"/>
        </w:rPr>
        <w:t>rifluimento</w:t>
      </w:r>
      <w:proofErr w:type="spellEnd"/>
      <w:r w:rsidRPr="00484DB6">
        <w:rPr>
          <w:rFonts w:cs="Arial"/>
          <w:sz w:val="20"/>
        </w:rPr>
        <w:t xml:space="preserve"> in superficie dei fanghi bentonitici e di eseguire senza soluzioni di continuità il getto stesso.</w:t>
      </w:r>
    </w:p>
    <w:p w:rsidR="00F252A3" w:rsidRPr="00484DB6" w:rsidRDefault="00F252A3" w:rsidP="00F252A3">
      <w:pPr>
        <w:ind w:left="566" w:right="1" w:hanging="283"/>
        <w:rPr>
          <w:rFonts w:cs="Arial"/>
          <w:sz w:val="20"/>
        </w:rPr>
      </w:pPr>
      <w:r w:rsidRPr="00484DB6">
        <w:rPr>
          <w:rFonts w:cs="Arial"/>
          <w:sz w:val="20"/>
        </w:rPr>
        <w:tab/>
        <w:t>Il getto dovrà essere portato fino ad una quota superiore di circa 50 cm a quella di progetto.</w:t>
      </w:r>
    </w:p>
    <w:p w:rsidR="00F252A3" w:rsidRPr="00484DB6" w:rsidRDefault="00F252A3" w:rsidP="00F252A3">
      <w:pPr>
        <w:ind w:left="566" w:right="1" w:hanging="283"/>
        <w:rPr>
          <w:rFonts w:cs="Arial"/>
          <w:sz w:val="20"/>
        </w:rPr>
      </w:pPr>
      <w:r w:rsidRPr="00484DB6">
        <w:rPr>
          <w:rFonts w:cs="Arial"/>
          <w:sz w:val="20"/>
        </w:rPr>
        <w:tab/>
        <w:t>I getti dei calcestruzzi saranno eseguiti solo dopo il controllo della profondità di scavo raggiunta e la verifica della armatura da parte della Direzione dei Lavori.</w:t>
      </w:r>
    </w:p>
    <w:p w:rsidR="00F252A3" w:rsidRPr="00484DB6" w:rsidRDefault="00F252A3" w:rsidP="00F252A3">
      <w:pPr>
        <w:ind w:left="566" w:right="1" w:hanging="283"/>
        <w:rPr>
          <w:rFonts w:cs="Arial"/>
          <w:sz w:val="20"/>
        </w:rPr>
      </w:pPr>
      <w:r w:rsidRPr="00484DB6">
        <w:rPr>
          <w:rFonts w:cs="Arial"/>
          <w:sz w:val="20"/>
        </w:rPr>
        <w:tab/>
        <w:t>Nella ripresa dei getti, da concio a concio, si adotteranno tutti gli accorgimenti necessari al fine di evitare distacchi, discontinuità e differenze nei singoli conci. L'allineamento planimetrico della benna di scavo del diaframma sarà ottenuto di norma con la formazione di guide o corree in calcestruzzo anche debolmente armato.</w:t>
      </w:r>
    </w:p>
    <w:p w:rsidR="00F252A3" w:rsidRPr="00484DB6" w:rsidRDefault="00F252A3" w:rsidP="00F252A3">
      <w:pPr>
        <w:ind w:left="566" w:right="1" w:hanging="283"/>
        <w:rPr>
          <w:rFonts w:cs="Arial"/>
          <w:sz w:val="20"/>
        </w:rPr>
      </w:pPr>
    </w:p>
    <w:p w:rsidR="00F252A3" w:rsidRPr="00484DB6" w:rsidRDefault="00F252A3" w:rsidP="00F252A3">
      <w:pPr>
        <w:jc w:val="center"/>
        <w:rPr>
          <w:rFonts w:cs="Arial"/>
          <w:b/>
          <w:sz w:val="20"/>
        </w:rPr>
      </w:pPr>
      <w:r w:rsidRPr="00484DB6">
        <w:rPr>
          <w:rFonts w:cs="Arial"/>
          <w:b/>
          <w:sz w:val="20"/>
        </w:rPr>
        <w:t>Art. 4.3</w:t>
      </w:r>
    </w:p>
    <w:p w:rsidR="00F252A3" w:rsidRPr="00484DB6" w:rsidRDefault="00F252A3" w:rsidP="00F252A3">
      <w:pPr>
        <w:jc w:val="center"/>
        <w:rPr>
          <w:rFonts w:cs="Arial"/>
          <w:b/>
          <w:sz w:val="20"/>
        </w:rPr>
      </w:pPr>
      <w:r w:rsidRPr="00484DB6">
        <w:rPr>
          <w:rFonts w:cs="Arial"/>
          <w:b/>
          <w:sz w:val="20"/>
        </w:rPr>
        <w:t>PALIFICAZIONI</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Le palificazioni sono costituite da elementi strutturali di fondazione infissi o costruiti, in grado di trasmettere al sottosuolo le forze ed i carichi applicati dalle sovrastrutture.</w:t>
      </w:r>
    </w:p>
    <w:p w:rsidR="00F252A3" w:rsidRPr="00484DB6" w:rsidRDefault="00F252A3" w:rsidP="00F252A3">
      <w:pPr>
        <w:ind w:firstLine="284"/>
        <w:rPr>
          <w:rFonts w:cs="Arial"/>
          <w:sz w:val="20"/>
        </w:rPr>
      </w:pPr>
      <w:r w:rsidRPr="00484DB6">
        <w:rPr>
          <w:rFonts w:cs="Arial"/>
          <w:sz w:val="20"/>
        </w:rPr>
        <w:t>Le palificazioni potranno essere composte da:</w:t>
      </w:r>
    </w:p>
    <w:p w:rsidR="00F252A3" w:rsidRPr="00484DB6" w:rsidRDefault="00F252A3" w:rsidP="00F252A3">
      <w:pPr>
        <w:ind w:firstLine="284"/>
        <w:rPr>
          <w:rFonts w:cs="Arial"/>
          <w:sz w:val="20"/>
        </w:rPr>
      </w:pPr>
      <w:r w:rsidRPr="00484DB6">
        <w:rPr>
          <w:rFonts w:cs="Arial"/>
          <w:sz w:val="20"/>
        </w:rPr>
        <w:t>-</w:t>
      </w:r>
      <w:r w:rsidRPr="00484DB6">
        <w:rPr>
          <w:rFonts w:cs="Arial"/>
          <w:sz w:val="20"/>
        </w:rPr>
        <w:tab/>
        <w:t>pali di legno infissi;</w:t>
      </w:r>
    </w:p>
    <w:p w:rsidR="00F252A3" w:rsidRPr="00484DB6" w:rsidRDefault="00F252A3" w:rsidP="00F252A3">
      <w:pPr>
        <w:ind w:firstLine="284"/>
        <w:rPr>
          <w:rFonts w:cs="Arial"/>
          <w:sz w:val="20"/>
        </w:rPr>
      </w:pPr>
      <w:r w:rsidRPr="00484DB6">
        <w:rPr>
          <w:rFonts w:cs="Arial"/>
          <w:sz w:val="20"/>
        </w:rPr>
        <w:t>-</w:t>
      </w:r>
      <w:r w:rsidRPr="00484DB6">
        <w:rPr>
          <w:rFonts w:cs="Arial"/>
          <w:sz w:val="20"/>
        </w:rPr>
        <w:tab/>
        <w:t>pali di calcestruzzo armato infissi;</w:t>
      </w:r>
    </w:p>
    <w:p w:rsidR="00F252A3" w:rsidRPr="00484DB6" w:rsidRDefault="00F252A3" w:rsidP="00F252A3">
      <w:pPr>
        <w:ind w:firstLine="284"/>
        <w:rPr>
          <w:rFonts w:cs="Arial"/>
          <w:sz w:val="20"/>
        </w:rPr>
      </w:pPr>
      <w:r w:rsidRPr="00484DB6">
        <w:rPr>
          <w:rFonts w:cs="Arial"/>
          <w:sz w:val="20"/>
        </w:rPr>
        <w:t>-</w:t>
      </w:r>
      <w:r w:rsidRPr="00484DB6">
        <w:rPr>
          <w:rFonts w:cs="Arial"/>
          <w:sz w:val="20"/>
        </w:rPr>
        <w:tab/>
        <w:t>pali trivellati di calcestruzzo armato costruiti in opera.</w:t>
      </w:r>
    </w:p>
    <w:p w:rsidR="00F252A3" w:rsidRPr="00484DB6" w:rsidRDefault="00F252A3" w:rsidP="00F252A3">
      <w:pPr>
        <w:ind w:firstLine="284"/>
        <w:rPr>
          <w:rFonts w:cs="Arial"/>
          <w:sz w:val="20"/>
        </w:rPr>
      </w:pPr>
      <w:r w:rsidRPr="00484DB6">
        <w:rPr>
          <w:rFonts w:cs="Arial"/>
          <w:sz w:val="20"/>
        </w:rPr>
        <w:t>I lavori saranno eseguiti in conformità, alla normativa vigente e a quella di seguito elencata:</w:t>
      </w:r>
    </w:p>
    <w:p w:rsidR="00F252A3" w:rsidRPr="00484DB6" w:rsidRDefault="00F252A3" w:rsidP="00F252A3">
      <w:pPr>
        <w:ind w:firstLine="284"/>
        <w:rPr>
          <w:rFonts w:cs="Arial"/>
          <w:sz w:val="20"/>
        </w:rPr>
      </w:pPr>
      <w:r w:rsidRPr="00484DB6">
        <w:rPr>
          <w:rFonts w:cs="Arial"/>
          <w:sz w:val="20"/>
        </w:rPr>
        <w:t>- Ministero delle infrastrutture - Decreto 17 gennaio 2018 “Aggiornamento delle Norme tecniche per le Costruzioni” (G.U. 20 febbraio 2018, n. 42);</w:t>
      </w:r>
    </w:p>
    <w:p w:rsidR="00F252A3" w:rsidRPr="00484DB6" w:rsidRDefault="00F252A3" w:rsidP="00F252A3">
      <w:pPr>
        <w:ind w:firstLine="284"/>
        <w:rPr>
          <w:rFonts w:cs="Arial"/>
          <w:sz w:val="20"/>
        </w:rPr>
      </w:pPr>
      <w:r w:rsidRPr="00484DB6">
        <w:rPr>
          <w:rFonts w:cs="Arial"/>
          <w:sz w:val="20"/>
        </w:rPr>
        <w:t xml:space="preserve">- </w:t>
      </w:r>
      <w:r w:rsidRPr="00484DB6">
        <w:rPr>
          <w:rFonts w:cs="Arial"/>
          <w:sz w:val="20"/>
        </w:rPr>
        <w:tab/>
        <w:t xml:space="preserve">d.P.R. 380/2001 e </w:t>
      </w:r>
      <w:proofErr w:type="spellStart"/>
      <w:r w:rsidRPr="00484DB6">
        <w:rPr>
          <w:rFonts w:cs="Arial"/>
          <w:sz w:val="20"/>
        </w:rPr>
        <w:t>s.m.i.</w:t>
      </w:r>
      <w:proofErr w:type="spellEnd"/>
      <w:r w:rsidRPr="00484DB6">
        <w:rPr>
          <w:rFonts w:cs="Arial"/>
          <w:sz w:val="20"/>
        </w:rPr>
        <w:t>, art. 52;</w:t>
      </w:r>
    </w:p>
    <w:p w:rsidR="00F252A3" w:rsidRPr="00484DB6" w:rsidRDefault="00F252A3" w:rsidP="00F252A3">
      <w:pPr>
        <w:ind w:firstLine="284"/>
        <w:rPr>
          <w:rFonts w:cs="Arial"/>
          <w:sz w:val="20"/>
        </w:rPr>
      </w:pPr>
      <w:r w:rsidRPr="00484DB6">
        <w:rPr>
          <w:rFonts w:cs="Arial"/>
          <w:sz w:val="20"/>
        </w:rPr>
        <w:t xml:space="preserve">- </w:t>
      </w:r>
      <w:r w:rsidRPr="00484DB6">
        <w:rPr>
          <w:rFonts w:cs="Arial"/>
          <w:sz w:val="20"/>
        </w:rPr>
        <w:tab/>
        <w:t>CNR «Istruzioni sulla pianificazione della manutenzione stradale»;</w:t>
      </w:r>
    </w:p>
    <w:p w:rsidR="00F252A3" w:rsidRPr="00484DB6" w:rsidRDefault="00F252A3" w:rsidP="00F252A3">
      <w:pPr>
        <w:ind w:firstLine="284"/>
        <w:rPr>
          <w:rFonts w:cs="Arial"/>
          <w:sz w:val="20"/>
        </w:rPr>
      </w:pPr>
      <w:r w:rsidRPr="00484DB6">
        <w:rPr>
          <w:rFonts w:cs="Arial"/>
          <w:sz w:val="20"/>
        </w:rPr>
        <w:t xml:space="preserve">- </w:t>
      </w:r>
      <w:r w:rsidRPr="00484DB6">
        <w:rPr>
          <w:rFonts w:cs="Arial"/>
          <w:sz w:val="20"/>
        </w:rPr>
        <w:tab/>
        <w:t>Raccomandazioni dell'Associazione Geotecnica Italiana sui pali di fondazione, dicembre 1984.</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4.3.1) Pali infissi</w:t>
      </w:r>
    </w:p>
    <w:p w:rsidR="00F252A3" w:rsidRPr="00484DB6" w:rsidRDefault="00F252A3" w:rsidP="00F252A3">
      <w:pPr>
        <w:rPr>
          <w:rFonts w:cs="Arial"/>
          <w:sz w:val="20"/>
        </w:rPr>
      </w:pPr>
    </w:p>
    <w:p w:rsidR="00F252A3" w:rsidRPr="00484DB6" w:rsidRDefault="00F252A3" w:rsidP="00F252A3">
      <w:pPr>
        <w:ind w:left="566" w:right="1" w:hanging="283"/>
        <w:rPr>
          <w:rFonts w:cs="Arial"/>
          <w:sz w:val="20"/>
        </w:rPr>
      </w:pPr>
      <w:r w:rsidRPr="00484DB6">
        <w:rPr>
          <w:rFonts w:cs="Arial"/>
          <w:sz w:val="20"/>
        </w:rPr>
        <w:t>a)</w:t>
      </w:r>
      <w:r w:rsidRPr="00484DB6">
        <w:rPr>
          <w:rFonts w:cs="Arial"/>
          <w:sz w:val="20"/>
        </w:rPr>
        <w:tab/>
        <w:t>Pali di legno.</w:t>
      </w:r>
    </w:p>
    <w:p w:rsidR="00F252A3" w:rsidRPr="00484DB6" w:rsidRDefault="00F252A3" w:rsidP="00F252A3">
      <w:pPr>
        <w:ind w:left="566" w:right="1" w:hanging="283"/>
        <w:rPr>
          <w:rFonts w:cs="Arial"/>
          <w:sz w:val="20"/>
        </w:rPr>
      </w:pPr>
      <w:r w:rsidRPr="00484DB6">
        <w:rPr>
          <w:rFonts w:cs="Arial"/>
          <w:sz w:val="20"/>
        </w:rPr>
        <w:tab/>
        <w:t>I pali di legno devono essere di essenza forte o resinosa secondo le previsioni di progetto o le disposizioni che saranno impartite dalla Direzione dei Lavori. I pali dovranno essere scortecciati, ben diritti, di taglio fresco, conguagliati alla superficie ed esenti da carie.</w:t>
      </w:r>
    </w:p>
    <w:p w:rsidR="00F252A3" w:rsidRPr="00484DB6" w:rsidRDefault="00F252A3" w:rsidP="00F252A3">
      <w:pPr>
        <w:ind w:left="566" w:right="1" w:hanging="283"/>
        <w:rPr>
          <w:rFonts w:cs="Arial"/>
          <w:sz w:val="20"/>
        </w:rPr>
      </w:pPr>
      <w:r w:rsidRPr="00484DB6">
        <w:rPr>
          <w:rFonts w:cs="Arial"/>
          <w:sz w:val="20"/>
        </w:rPr>
        <w:tab/>
        <w:t>La parte inferiore del palo sarà sagomata a punta e protetta da apposita puntazza in ferro di forma e peso adeguati agli sforzi indotti dall'infissione. La parte superiore del palo, sottoposta ai colpi di maglio, dovrà essere munita di anelli di ferro e cuffia che impedisca durante la battitura ogni rottura.</w:t>
      </w:r>
    </w:p>
    <w:p w:rsidR="00F252A3" w:rsidRPr="00484DB6" w:rsidRDefault="00F252A3" w:rsidP="00F252A3">
      <w:pPr>
        <w:ind w:left="566" w:right="1" w:hanging="283"/>
        <w:rPr>
          <w:rFonts w:cs="Arial"/>
          <w:sz w:val="20"/>
        </w:rPr>
      </w:pPr>
      <w:r w:rsidRPr="00484DB6">
        <w:rPr>
          <w:rFonts w:cs="Arial"/>
          <w:sz w:val="20"/>
        </w:rPr>
        <w:tab/>
        <w:t>I pali, salvo diverse prescrizioni, verranno infissi verticalmente nella posizione stabilita dal progetto.</w:t>
      </w:r>
    </w:p>
    <w:p w:rsidR="00F252A3" w:rsidRPr="00484DB6" w:rsidRDefault="00F252A3" w:rsidP="00F252A3">
      <w:pPr>
        <w:ind w:left="566" w:right="1" w:hanging="283"/>
        <w:rPr>
          <w:rFonts w:cs="Arial"/>
          <w:sz w:val="20"/>
        </w:rPr>
      </w:pPr>
      <w:r w:rsidRPr="00484DB6">
        <w:rPr>
          <w:rFonts w:cs="Arial"/>
          <w:sz w:val="20"/>
        </w:rPr>
        <w:tab/>
        <w:t>Ogni palo che si spezzasse durante l'infissione o deviasse, dovrà essere, su richiesta della Direzione dei Lavori, tagliato o divelto e sostituito con altro.</w:t>
      </w:r>
    </w:p>
    <w:p w:rsidR="00F252A3" w:rsidRPr="00484DB6" w:rsidRDefault="00F252A3" w:rsidP="00F252A3">
      <w:pPr>
        <w:ind w:left="566" w:right="1" w:hanging="283"/>
        <w:rPr>
          <w:rFonts w:cs="Arial"/>
          <w:sz w:val="20"/>
        </w:rPr>
      </w:pPr>
      <w:r w:rsidRPr="00484DB6">
        <w:rPr>
          <w:rFonts w:cs="Arial"/>
          <w:sz w:val="20"/>
        </w:rPr>
        <w:tab/>
        <w:t>I pali dovranno essere battuti fino a rifiuto con maglio di peso adeguato.</w:t>
      </w:r>
    </w:p>
    <w:p w:rsidR="00F252A3" w:rsidRPr="00484DB6" w:rsidRDefault="00F252A3" w:rsidP="00F252A3">
      <w:pPr>
        <w:ind w:left="566" w:right="1" w:hanging="283"/>
        <w:rPr>
          <w:rFonts w:cs="Arial"/>
          <w:sz w:val="20"/>
        </w:rPr>
      </w:pPr>
      <w:r w:rsidRPr="00484DB6">
        <w:rPr>
          <w:rFonts w:cs="Arial"/>
          <w:sz w:val="20"/>
        </w:rPr>
        <w:tab/>
        <w:t>Il rifiuto si intende raggiunto quando l'affondamento prodotto da un determinato numero di colpi del maglio, cadente sempre dalla stessa altezza, non supera il limite che il progettista avrà fissato in funzione del carico che il palo dovrà sopportare.</w:t>
      </w:r>
    </w:p>
    <w:p w:rsidR="00F252A3" w:rsidRPr="00484DB6" w:rsidRDefault="00F252A3" w:rsidP="00F252A3">
      <w:pPr>
        <w:ind w:left="566" w:right="1" w:hanging="283"/>
        <w:rPr>
          <w:rFonts w:cs="Arial"/>
          <w:sz w:val="20"/>
        </w:rPr>
      </w:pPr>
      <w:r w:rsidRPr="00484DB6">
        <w:rPr>
          <w:rFonts w:cs="Arial"/>
          <w:sz w:val="20"/>
        </w:rPr>
        <w:tab/>
        <w:t>Le ultime volate dovranno essere sempre battute in presenza di un incaricato della Direzione dei Lavori.</w:t>
      </w:r>
    </w:p>
    <w:p w:rsidR="00F252A3" w:rsidRPr="00484DB6" w:rsidRDefault="00F252A3" w:rsidP="00F252A3">
      <w:pPr>
        <w:ind w:left="566" w:right="1" w:hanging="283"/>
        <w:rPr>
          <w:rFonts w:cs="Arial"/>
          <w:sz w:val="20"/>
        </w:rPr>
      </w:pPr>
      <w:r w:rsidRPr="00484DB6">
        <w:rPr>
          <w:rFonts w:cs="Arial"/>
          <w:sz w:val="20"/>
        </w:rPr>
        <w:tab/>
        <w:t>L'Appaltatore non potrà in alcun modo procedere alla recisione della testa del palo senza averne preventiva autorizzazione.</w:t>
      </w:r>
    </w:p>
    <w:p w:rsidR="00F252A3" w:rsidRPr="00484DB6" w:rsidRDefault="00F252A3" w:rsidP="00F252A3">
      <w:pPr>
        <w:ind w:left="566" w:right="1" w:hanging="283"/>
        <w:rPr>
          <w:rFonts w:cs="Arial"/>
          <w:sz w:val="20"/>
        </w:rPr>
      </w:pPr>
      <w:r w:rsidRPr="00484DB6">
        <w:rPr>
          <w:rFonts w:cs="Arial"/>
          <w:sz w:val="20"/>
        </w:rPr>
        <w:tab/>
        <w:t>Al fine di consentire la verifica della portata di progetto, dovranno venire rilevati per ogni palo e trascritti su apposito registro, i seguenti elementi:</w:t>
      </w:r>
    </w:p>
    <w:p w:rsidR="00F252A3" w:rsidRPr="00484DB6" w:rsidRDefault="00F252A3" w:rsidP="00F252A3">
      <w:pPr>
        <w:ind w:left="708" w:right="1" w:hanging="141"/>
        <w:rPr>
          <w:rFonts w:cs="Arial"/>
          <w:sz w:val="20"/>
        </w:rPr>
      </w:pPr>
      <w:r w:rsidRPr="00484DB6">
        <w:rPr>
          <w:rFonts w:cs="Arial"/>
          <w:sz w:val="20"/>
        </w:rPr>
        <w:lastRenderedPageBreak/>
        <w:t>-</w:t>
      </w:r>
      <w:r w:rsidRPr="00484DB6">
        <w:rPr>
          <w:rFonts w:cs="Arial"/>
          <w:sz w:val="20"/>
        </w:rPr>
        <w:tab/>
        <w:t>profondità raggiunta;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rifiuto;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peso della cuffia o degli altri elementi di protezione;</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peso della massa battente;</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altezza di caduta del maglio;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frequenza di colpi;</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energia d'urto;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efficienza del battipalo.</w:t>
      </w:r>
    </w:p>
    <w:p w:rsidR="00F252A3" w:rsidRPr="00484DB6" w:rsidRDefault="00F252A3" w:rsidP="00F252A3">
      <w:pPr>
        <w:ind w:left="566" w:right="1" w:hanging="283"/>
        <w:rPr>
          <w:rFonts w:cs="Arial"/>
          <w:sz w:val="20"/>
        </w:rPr>
      </w:pPr>
      <w:r w:rsidRPr="00484DB6">
        <w:rPr>
          <w:rFonts w:cs="Arial"/>
          <w:sz w:val="20"/>
        </w:rPr>
        <w:tab/>
        <w:t>A giudizio della Direzione dei Lavori la portata dei pali battuti potrà essere controllata mediante prove di carico dirette, da eseguire con le modalità e nel numero che sarà prescritto.</w:t>
      </w:r>
    </w:p>
    <w:p w:rsidR="00F252A3" w:rsidRPr="00484DB6" w:rsidRDefault="00F252A3" w:rsidP="00F252A3">
      <w:pPr>
        <w:ind w:left="566" w:right="1" w:hanging="283"/>
        <w:rPr>
          <w:rFonts w:cs="Arial"/>
          <w:sz w:val="20"/>
        </w:rPr>
      </w:pPr>
      <w:r w:rsidRPr="00484DB6">
        <w:rPr>
          <w:rFonts w:cs="Arial"/>
          <w:sz w:val="20"/>
        </w:rPr>
        <w:t>b)</w:t>
      </w:r>
      <w:r w:rsidRPr="00484DB6">
        <w:rPr>
          <w:rFonts w:cs="Arial"/>
          <w:sz w:val="20"/>
        </w:rPr>
        <w:tab/>
        <w:t>Pali di conglomerato cementizio armato.</w:t>
      </w:r>
    </w:p>
    <w:p w:rsidR="00F252A3" w:rsidRPr="00484DB6" w:rsidRDefault="00F252A3" w:rsidP="00F252A3">
      <w:pPr>
        <w:ind w:left="566" w:right="1" w:hanging="283"/>
        <w:rPr>
          <w:rFonts w:cs="Arial"/>
          <w:sz w:val="20"/>
        </w:rPr>
      </w:pPr>
      <w:r w:rsidRPr="00484DB6">
        <w:rPr>
          <w:rFonts w:cs="Arial"/>
          <w:sz w:val="20"/>
        </w:rPr>
        <w:tab/>
        <w:t>I pali prefabbricati saranno centrifugati a sezione cava.</w:t>
      </w:r>
    </w:p>
    <w:p w:rsidR="00F252A3" w:rsidRPr="00484DB6" w:rsidRDefault="00F252A3" w:rsidP="00F252A3">
      <w:pPr>
        <w:ind w:left="566" w:right="1" w:hanging="283"/>
        <w:rPr>
          <w:rFonts w:cs="Arial"/>
          <w:sz w:val="20"/>
        </w:rPr>
      </w:pPr>
      <w:r w:rsidRPr="00484DB6">
        <w:rPr>
          <w:rFonts w:cs="Arial"/>
          <w:sz w:val="20"/>
        </w:rPr>
        <w:tab/>
        <w:t>Il conglomerato cementizio impiegato dovrà avere una resistenza caratteristica a 28 giorni non inferiore a 40 N/mm² e dovrà essere esente da porosità o altri difetti.</w:t>
      </w:r>
    </w:p>
    <w:p w:rsidR="00F252A3" w:rsidRPr="00484DB6" w:rsidRDefault="00F252A3" w:rsidP="00F252A3">
      <w:pPr>
        <w:ind w:left="566" w:right="1" w:hanging="283"/>
        <w:rPr>
          <w:rFonts w:cs="Arial"/>
          <w:sz w:val="20"/>
        </w:rPr>
      </w:pPr>
      <w:r w:rsidRPr="00484DB6">
        <w:rPr>
          <w:rFonts w:cs="Arial"/>
          <w:sz w:val="20"/>
        </w:rPr>
        <w:tab/>
        <w:t>Il cemento sarà pozzolanico e dovrà essere esente da porosità o altri difetti.</w:t>
      </w:r>
    </w:p>
    <w:p w:rsidR="00F252A3" w:rsidRPr="00484DB6" w:rsidRDefault="00F252A3" w:rsidP="00F252A3">
      <w:pPr>
        <w:ind w:left="566" w:right="1" w:hanging="283"/>
        <w:rPr>
          <w:rFonts w:cs="Arial"/>
          <w:sz w:val="20"/>
        </w:rPr>
      </w:pPr>
      <w:r w:rsidRPr="00484DB6">
        <w:rPr>
          <w:rFonts w:cs="Arial"/>
          <w:sz w:val="20"/>
        </w:rPr>
        <w:tab/>
        <w:t>Il cemento sarà pozzolanico, ferrico pozzolanico o d'altoforno.</w:t>
      </w:r>
    </w:p>
    <w:p w:rsidR="00F252A3" w:rsidRPr="00484DB6" w:rsidRDefault="00F252A3" w:rsidP="00F252A3">
      <w:pPr>
        <w:ind w:left="566" w:right="1" w:hanging="283"/>
        <w:rPr>
          <w:rFonts w:cs="Arial"/>
          <w:sz w:val="20"/>
        </w:rPr>
      </w:pPr>
      <w:r w:rsidRPr="00484DB6">
        <w:rPr>
          <w:rFonts w:cs="Arial"/>
          <w:sz w:val="20"/>
        </w:rPr>
        <w:tab/>
        <w:t>La Direzione dei Lavori potrà anche ordinare rivestimenti protettivi.</w:t>
      </w:r>
    </w:p>
    <w:p w:rsidR="00F252A3" w:rsidRPr="00484DB6" w:rsidRDefault="00F252A3" w:rsidP="00F252A3">
      <w:pPr>
        <w:ind w:left="566" w:right="1" w:hanging="283"/>
        <w:rPr>
          <w:rFonts w:cs="Arial"/>
          <w:sz w:val="20"/>
        </w:rPr>
      </w:pPr>
      <w:r w:rsidRPr="00484DB6">
        <w:rPr>
          <w:rFonts w:cs="Arial"/>
          <w:sz w:val="20"/>
        </w:rPr>
        <w:tab/>
        <w:t>Il copriferro dovrà essere di almeno tre centimetri.</w:t>
      </w:r>
    </w:p>
    <w:p w:rsidR="00F252A3" w:rsidRPr="00484DB6" w:rsidRDefault="00F252A3" w:rsidP="00F252A3">
      <w:pPr>
        <w:ind w:left="566" w:right="1" w:hanging="283"/>
        <w:rPr>
          <w:rFonts w:cs="Arial"/>
          <w:sz w:val="20"/>
        </w:rPr>
      </w:pPr>
      <w:r w:rsidRPr="00484DB6">
        <w:rPr>
          <w:rFonts w:cs="Arial"/>
          <w:sz w:val="20"/>
        </w:rPr>
        <w:tab/>
        <w:t>I pali dovranno essere muniti di robuste puntazze metalliche ancorate al conglomerato.</w:t>
      </w:r>
    </w:p>
    <w:p w:rsidR="00F252A3" w:rsidRPr="00484DB6" w:rsidRDefault="00F252A3" w:rsidP="00F252A3">
      <w:pPr>
        <w:ind w:left="566" w:right="1" w:hanging="283"/>
        <w:rPr>
          <w:rFonts w:cs="Arial"/>
          <w:sz w:val="20"/>
        </w:rPr>
      </w:pPr>
      <w:r w:rsidRPr="00484DB6">
        <w:rPr>
          <w:rFonts w:cs="Arial"/>
          <w:sz w:val="20"/>
        </w:rPr>
        <w:tab/>
        <w:t>L'infissione verrà fatta con i sistemi ed accorgimenti previsti per i pali di legno.</w:t>
      </w:r>
    </w:p>
    <w:p w:rsidR="00F252A3" w:rsidRPr="00484DB6" w:rsidRDefault="00F252A3" w:rsidP="00F252A3">
      <w:pPr>
        <w:ind w:left="566" w:right="1" w:hanging="283"/>
        <w:rPr>
          <w:rFonts w:cs="Arial"/>
          <w:sz w:val="20"/>
        </w:rPr>
      </w:pPr>
      <w:r w:rsidRPr="00484DB6">
        <w:rPr>
          <w:rFonts w:cs="Arial"/>
          <w:sz w:val="20"/>
        </w:rPr>
        <w:tab/>
        <w:t>I magli, se a caduta libera, dovranno essere di peso non inferiore a quello del palo da infiggere.</w:t>
      </w:r>
    </w:p>
    <w:p w:rsidR="00F252A3" w:rsidRPr="00484DB6" w:rsidRDefault="00F252A3" w:rsidP="00F252A3">
      <w:pPr>
        <w:ind w:left="566" w:right="1" w:hanging="283"/>
        <w:rPr>
          <w:rFonts w:cs="Arial"/>
          <w:sz w:val="20"/>
        </w:rPr>
      </w:pPr>
      <w:r w:rsidRPr="00484DB6">
        <w:rPr>
          <w:rFonts w:cs="Arial"/>
          <w:sz w:val="20"/>
        </w:rPr>
        <w:tab/>
        <w:t>Allo scopo di evitare la rottura delle teste dei pali durante l'infissione, saranno applicate sopra di esse protezioni di legname entro cerchiature di ferro.</w:t>
      </w:r>
    </w:p>
    <w:p w:rsidR="00F252A3" w:rsidRPr="00484DB6" w:rsidRDefault="00F252A3" w:rsidP="00F252A3">
      <w:pPr>
        <w:ind w:left="566" w:right="1" w:hanging="283"/>
        <w:rPr>
          <w:rFonts w:cs="Arial"/>
          <w:sz w:val="20"/>
        </w:rPr>
      </w:pPr>
      <w:r w:rsidRPr="00484DB6">
        <w:rPr>
          <w:rFonts w:cs="Arial"/>
          <w:sz w:val="20"/>
        </w:rPr>
        <w:tab/>
        <w:t>Lo spostamento planimetrico della posizione teorica dei pali non potrà superare 10 cm e l'inclinazione finale, rispetto all'asse teorico, non dovrà superare il 3%.</w:t>
      </w:r>
    </w:p>
    <w:p w:rsidR="00F252A3" w:rsidRPr="00484DB6" w:rsidRDefault="00F252A3" w:rsidP="00F252A3">
      <w:pPr>
        <w:ind w:left="566" w:right="1" w:hanging="283"/>
        <w:rPr>
          <w:rFonts w:cs="Arial"/>
          <w:sz w:val="20"/>
        </w:rPr>
      </w:pPr>
      <w:r w:rsidRPr="00484DB6">
        <w:rPr>
          <w:rFonts w:cs="Arial"/>
          <w:sz w:val="20"/>
        </w:rPr>
        <w:tab/>
        <w:t>Per valori degli spostamenti superiori a quelli indicati, la Direzione dei Lavori potrà richiedere che i pali siano rimossi e sostituiti.</w:t>
      </w:r>
    </w:p>
    <w:p w:rsidR="00F252A3" w:rsidRPr="00484DB6" w:rsidRDefault="00F252A3" w:rsidP="00F252A3">
      <w:pPr>
        <w:ind w:left="566" w:right="1" w:hanging="283"/>
        <w:rPr>
          <w:rFonts w:cs="Arial"/>
          <w:sz w:val="20"/>
        </w:rPr>
      </w:pPr>
      <w:r w:rsidRPr="00484DB6">
        <w:rPr>
          <w:rFonts w:cs="Arial"/>
          <w:sz w:val="20"/>
        </w:rPr>
        <w:tab/>
        <w:t>Per ogni palo dovranno venire rilevati e trascritti su apposito registro, i seguenti elementi:</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lunghezza;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diametro esterno alla punta ed alla testa;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diametro interno alla punta ed alla testa;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profondità raggiunta;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rifiuto;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tipo di battipalo;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peso del maglio;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altezza di caduta del maglio;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caratteristiche della cuffia;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peso della cuffia;</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energia d'urto;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efficienza del battipalo.</w:t>
      </w:r>
    </w:p>
    <w:p w:rsidR="00F252A3" w:rsidRPr="00484DB6" w:rsidRDefault="00F252A3" w:rsidP="00F252A3">
      <w:pPr>
        <w:ind w:left="566" w:right="1" w:hanging="283"/>
        <w:rPr>
          <w:rFonts w:cs="Arial"/>
          <w:sz w:val="20"/>
        </w:rPr>
      </w:pPr>
      <w:r w:rsidRPr="00484DB6">
        <w:rPr>
          <w:rFonts w:cs="Arial"/>
          <w:sz w:val="20"/>
        </w:rPr>
        <w:tab/>
        <w:t>Occorrerà inoltre registrare il numero di colpi necessario all'affondamento del palo per ciascun tratto di 50 cm finché la resistenza alla penetrazione risulti minore di un colpo per ogni 1,5-2 cm, o per ciascun tratto di 10 cm quando la resistenza alla penetrazione superi i valori sopracitati.</w:t>
      </w:r>
    </w:p>
    <w:p w:rsidR="00F252A3" w:rsidRPr="00484DB6" w:rsidRDefault="00F252A3" w:rsidP="00F252A3">
      <w:pPr>
        <w:ind w:left="566" w:right="1" w:hanging="283"/>
        <w:rPr>
          <w:rFonts w:cs="Arial"/>
          <w:sz w:val="20"/>
        </w:rPr>
      </w:pPr>
      <w:r w:rsidRPr="00484DB6">
        <w:rPr>
          <w:rFonts w:cs="Arial"/>
          <w:sz w:val="20"/>
        </w:rPr>
        <w:tab/>
        <w:t>Sul fusto del palo dovranno essere riportate delle tacche distanziate tra loro di un metro a partire dalla punta del palo onde poterne controllare la penetrazione progressiva.</w:t>
      </w:r>
    </w:p>
    <w:p w:rsidR="00F252A3" w:rsidRPr="00484DB6" w:rsidRDefault="00F252A3" w:rsidP="00F252A3">
      <w:pPr>
        <w:ind w:left="566" w:right="1" w:hanging="283"/>
        <w:rPr>
          <w:rFonts w:cs="Arial"/>
          <w:sz w:val="20"/>
        </w:rPr>
      </w:pPr>
      <w:r w:rsidRPr="00484DB6">
        <w:rPr>
          <w:rFonts w:cs="Arial"/>
          <w:sz w:val="20"/>
        </w:rPr>
        <w:tab/>
        <w:t>Qualora durante l'infissione si verificassero scheggiature, lesioni di qualsiasi genere oppure deviazioni dell'asse, che a giudizio della Direzione dei Lavori non fossero tollerabili, il palo dovrà essere rimosso e sostituito.</w:t>
      </w:r>
    </w:p>
    <w:p w:rsidR="00F252A3" w:rsidRPr="00484DB6" w:rsidRDefault="00F252A3" w:rsidP="00F252A3">
      <w:pPr>
        <w:ind w:left="566" w:right="1" w:hanging="283"/>
        <w:rPr>
          <w:rFonts w:cs="Arial"/>
          <w:sz w:val="20"/>
        </w:rPr>
      </w:pPr>
    </w:p>
    <w:p w:rsidR="00F252A3" w:rsidRPr="00484DB6" w:rsidRDefault="00F252A3" w:rsidP="00F252A3">
      <w:pPr>
        <w:rPr>
          <w:rFonts w:cs="Arial"/>
          <w:sz w:val="20"/>
        </w:rPr>
      </w:pPr>
      <w:r w:rsidRPr="00484DB6">
        <w:rPr>
          <w:rFonts w:cs="Arial"/>
          <w:b/>
          <w:sz w:val="20"/>
        </w:rPr>
        <w:t>4.3.2) Pali costruiti in opera</w:t>
      </w:r>
    </w:p>
    <w:p w:rsidR="00F252A3" w:rsidRPr="00484DB6" w:rsidRDefault="00F252A3" w:rsidP="00F252A3">
      <w:pPr>
        <w:rPr>
          <w:rFonts w:cs="Arial"/>
          <w:sz w:val="20"/>
        </w:rPr>
      </w:pPr>
    </w:p>
    <w:p w:rsidR="00F252A3" w:rsidRPr="00484DB6" w:rsidRDefault="00F252A3" w:rsidP="00F252A3">
      <w:pPr>
        <w:ind w:left="566" w:right="1" w:hanging="283"/>
        <w:rPr>
          <w:rFonts w:cs="Arial"/>
          <w:sz w:val="20"/>
        </w:rPr>
      </w:pPr>
      <w:r w:rsidRPr="00484DB6">
        <w:rPr>
          <w:rFonts w:cs="Arial"/>
          <w:sz w:val="20"/>
        </w:rPr>
        <w:t>a)</w:t>
      </w:r>
      <w:r w:rsidRPr="00484DB6">
        <w:rPr>
          <w:rFonts w:cs="Arial"/>
          <w:sz w:val="20"/>
        </w:rPr>
        <w:tab/>
        <w:t>Pali speciali di conglomerato cementizio costruiti in opera (tipo Simplex, Franki, ecc.).</w:t>
      </w:r>
    </w:p>
    <w:p w:rsidR="00F252A3" w:rsidRPr="00484DB6" w:rsidRDefault="00F252A3" w:rsidP="00F252A3">
      <w:pPr>
        <w:ind w:left="566" w:right="1" w:hanging="283"/>
        <w:rPr>
          <w:rFonts w:cs="Arial"/>
          <w:sz w:val="20"/>
        </w:rPr>
      </w:pPr>
      <w:r w:rsidRPr="00484DB6">
        <w:rPr>
          <w:rFonts w:cs="Arial"/>
          <w:sz w:val="20"/>
        </w:rPr>
        <w:tab/>
        <w:t>La preparazione dei fori destinati ad accogliere gli impasti dovrà essere effettuata senza alcuna asportazione di terreno mediante l'infissione del tubo-forma, secondo le migliori norme tecniche d'uso della fattispecie, preventivamente approvata dalla Direzione dei Lavori.</w:t>
      </w:r>
    </w:p>
    <w:p w:rsidR="00F252A3" w:rsidRPr="00484DB6" w:rsidRDefault="00F252A3" w:rsidP="00F252A3">
      <w:pPr>
        <w:ind w:left="566" w:right="1" w:hanging="283"/>
        <w:rPr>
          <w:rFonts w:cs="Arial"/>
          <w:sz w:val="20"/>
        </w:rPr>
      </w:pPr>
      <w:r w:rsidRPr="00484DB6">
        <w:rPr>
          <w:rFonts w:cs="Arial"/>
          <w:sz w:val="20"/>
        </w:rPr>
        <w:tab/>
        <w:t>Per la tolleranza degli spostamenti rispetto alla posizione teorica dei pali e per tutte le modalità di infissione del tubo- forma e relativi rilevamenti, valgono le norme descritte precedentemente per i pali prefabbricati in calcestruzzo armato centrifugato.</w:t>
      </w:r>
    </w:p>
    <w:p w:rsidR="00F252A3" w:rsidRPr="00484DB6" w:rsidRDefault="00F252A3" w:rsidP="00F252A3">
      <w:pPr>
        <w:ind w:left="566" w:right="1" w:hanging="283"/>
        <w:rPr>
          <w:rFonts w:cs="Arial"/>
          <w:sz w:val="20"/>
        </w:rPr>
      </w:pPr>
      <w:r w:rsidRPr="00484DB6">
        <w:rPr>
          <w:rFonts w:cs="Arial"/>
          <w:sz w:val="20"/>
        </w:rPr>
        <w:tab/>
        <w:t xml:space="preserve">Ultimata l'infissione del tubo-forma si procederà anzitutto alla formazione del bulbo di base in conglomerato cementizio mediante energico costipamento dell'impasto e successivamente alla </w:t>
      </w:r>
      <w:r w:rsidRPr="00484DB6">
        <w:rPr>
          <w:rFonts w:cs="Arial"/>
          <w:sz w:val="20"/>
        </w:rPr>
        <w:lastRenderedPageBreak/>
        <w:t>confezione del fusto, sempre con conglomerato cementizio energicamente costipato.</w:t>
      </w:r>
    </w:p>
    <w:p w:rsidR="00F252A3" w:rsidRPr="00484DB6" w:rsidRDefault="00F252A3" w:rsidP="00F252A3">
      <w:pPr>
        <w:ind w:left="566" w:right="1" w:hanging="283"/>
        <w:rPr>
          <w:rFonts w:cs="Arial"/>
          <w:sz w:val="20"/>
        </w:rPr>
      </w:pPr>
      <w:r w:rsidRPr="00484DB6">
        <w:rPr>
          <w:rFonts w:cs="Arial"/>
          <w:sz w:val="20"/>
        </w:rPr>
        <w:tab/>
        <w:t>Il costipamento del getto sarà effettuato con i procedimenti specifici per il tipo di palo adottato, procedimenti che, comunque, dovranno essere preventivamente concordati con la Direzione dei Lavori.</w:t>
      </w:r>
    </w:p>
    <w:p w:rsidR="00F252A3" w:rsidRPr="00484DB6" w:rsidRDefault="00F252A3" w:rsidP="00F252A3">
      <w:pPr>
        <w:ind w:left="566" w:right="1" w:hanging="283"/>
        <w:rPr>
          <w:rFonts w:cs="Arial"/>
          <w:sz w:val="20"/>
        </w:rPr>
      </w:pPr>
      <w:r w:rsidRPr="00484DB6">
        <w:rPr>
          <w:rFonts w:cs="Arial"/>
          <w:sz w:val="20"/>
        </w:rPr>
        <w:tab/>
        <w:t>Il conglomerato cementizio impiegato sarà del tipo prescritto negli elaborati progettuali e dovrà risultare esente da porosità od altri difetti.</w:t>
      </w:r>
    </w:p>
    <w:p w:rsidR="00F252A3" w:rsidRPr="00484DB6" w:rsidRDefault="00F252A3" w:rsidP="00F252A3">
      <w:pPr>
        <w:ind w:left="566" w:right="1" w:hanging="283"/>
        <w:rPr>
          <w:rFonts w:cs="Arial"/>
          <w:sz w:val="20"/>
        </w:rPr>
      </w:pPr>
      <w:r w:rsidRPr="00484DB6">
        <w:rPr>
          <w:rFonts w:cs="Arial"/>
          <w:sz w:val="20"/>
        </w:rPr>
        <w:tab/>
        <w:t>Il cemento sarà pozzolanico o d'altoforno.</w:t>
      </w:r>
    </w:p>
    <w:p w:rsidR="00F252A3" w:rsidRPr="00484DB6" w:rsidRDefault="00F252A3" w:rsidP="00F252A3">
      <w:pPr>
        <w:ind w:left="566" w:right="1" w:hanging="283"/>
        <w:rPr>
          <w:rFonts w:cs="Arial"/>
          <w:sz w:val="20"/>
        </w:rPr>
      </w:pPr>
      <w:r w:rsidRPr="00484DB6">
        <w:rPr>
          <w:rFonts w:cs="Arial"/>
          <w:sz w:val="20"/>
        </w:rPr>
        <w:tab/>
        <w:t>L'introduzione del conglomerato nel tubo-forma dovrà avvenire in modo tale da ottenere un getto omogeneo e compatto, senza discontinuità o segregazione; l'estrazione del tubo-forma, dovrà essere effettuata gradualmente, seguendo man mano la immissione ed il costipamento del conglomerato cementizio ed adottando comunque tutti gli accorgimenti necessari per evitare che si creino distacchi, discontinuità od inclusioni di materiali estranei nel corpo del palo.</w:t>
      </w:r>
    </w:p>
    <w:p w:rsidR="00F252A3" w:rsidRPr="00484DB6" w:rsidRDefault="00F252A3" w:rsidP="00F252A3">
      <w:pPr>
        <w:ind w:left="566" w:right="1" w:hanging="283"/>
        <w:rPr>
          <w:rFonts w:cs="Arial"/>
          <w:sz w:val="20"/>
        </w:rPr>
      </w:pPr>
      <w:r w:rsidRPr="00484DB6">
        <w:rPr>
          <w:rFonts w:cs="Arial"/>
          <w:sz w:val="20"/>
        </w:rPr>
        <w:tab/>
        <w:t>Durante il getto dovrà essere tassativamente evitata l'introduzione di acqua all'interno del tubo, e si farà attenzione che il conglomerato cementizio non venga trascinato durante l'estrazione del tubo-forma; si avrà cura in particolare che l'estremità inferiore di detto tubo rimanga sempre almeno 100 cm sotto il livello raggiunto dal conglomerato.</w:t>
      </w:r>
    </w:p>
    <w:p w:rsidR="00F252A3" w:rsidRPr="00484DB6" w:rsidRDefault="00F252A3" w:rsidP="00F252A3">
      <w:pPr>
        <w:ind w:left="566" w:right="1" w:hanging="283"/>
        <w:rPr>
          <w:rFonts w:cs="Arial"/>
          <w:sz w:val="20"/>
        </w:rPr>
      </w:pPr>
      <w:r w:rsidRPr="00484DB6">
        <w:rPr>
          <w:rFonts w:cs="Arial"/>
          <w:sz w:val="20"/>
        </w:rPr>
        <w:tab/>
        <w:t>Dovranno essere adottati inoltre tutti gli accorgimenti atti ad evitare la separazione dei componenti del conglomerato cementizio ed il suo dilavamento da falde freatiche, correnti subacquee, ecc. Quest'ultimo risultato potrà essere ottenuto mediante arricchimento della dose di cemento, oppure con l'adozione di particolari additivi o con altri accorgimenti da definire di volta in volta con la Direzione dei Lavori. Qualora i pali siano muniti di armatura metallica, i sistemi di getto e di costipamento dovranno essere, in ogni caso, tali da non danneggiare l'armatura né alterarne la posizione rispetto ai disegni di progetto.</w:t>
      </w:r>
    </w:p>
    <w:p w:rsidR="00F252A3" w:rsidRPr="00484DB6" w:rsidRDefault="00F252A3" w:rsidP="00F252A3">
      <w:pPr>
        <w:ind w:left="566" w:right="1" w:hanging="283"/>
        <w:rPr>
          <w:rFonts w:cs="Arial"/>
          <w:sz w:val="20"/>
        </w:rPr>
      </w:pPr>
      <w:r w:rsidRPr="00484DB6">
        <w:rPr>
          <w:rFonts w:cs="Arial"/>
          <w:sz w:val="20"/>
        </w:rPr>
        <w:tab/>
        <w:t>Le gabbie d'armatura dovranno essere verificate, prima della posa in opera, dalla Direzione dei Lavori.</w:t>
      </w:r>
    </w:p>
    <w:p w:rsidR="00F252A3" w:rsidRPr="00484DB6" w:rsidRDefault="00F252A3" w:rsidP="00F252A3">
      <w:pPr>
        <w:ind w:left="566" w:right="1" w:hanging="283"/>
        <w:rPr>
          <w:rFonts w:cs="Arial"/>
          <w:sz w:val="20"/>
        </w:rPr>
      </w:pPr>
      <w:r w:rsidRPr="00484DB6">
        <w:rPr>
          <w:rFonts w:cs="Arial"/>
          <w:sz w:val="20"/>
        </w:rPr>
        <w:tab/>
        <w:t>Il copriferro sarà di almeno 5 cm.</w:t>
      </w:r>
    </w:p>
    <w:p w:rsidR="00F252A3" w:rsidRPr="00484DB6" w:rsidRDefault="00F252A3" w:rsidP="00F252A3">
      <w:pPr>
        <w:ind w:left="566" w:right="1" w:hanging="283"/>
        <w:rPr>
          <w:rFonts w:cs="Arial"/>
          <w:sz w:val="20"/>
        </w:rPr>
      </w:pPr>
      <w:r w:rsidRPr="00484DB6">
        <w:rPr>
          <w:rFonts w:cs="Arial"/>
          <w:sz w:val="20"/>
        </w:rPr>
        <w:tab/>
        <w:t>La profondità massima raggiunta da ogni palo sarà verificata prima del getto dalla Direzione dei Lavori e riportata su apposito registro giornaliero.</w:t>
      </w:r>
    </w:p>
    <w:p w:rsidR="00F252A3" w:rsidRPr="00484DB6" w:rsidRDefault="00F252A3" w:rsidP="00F252A3">
      <w:pPr>
        <w:ind w:left="566" w:right="1" w:hanging="283"/>
        <w:rPr>
          <w:rFonts w:cs="Arial"/>
          <w:sz w:val="20"/>
        </w:rPr>
      </w:pPr>
      <w:r w:rsidRPr="00484DB6">
        <w:rPr>
          <w:rFonts w:cs="Arial"/>
          <w:sz w:val="20"/>
        </w:rPr>
        <w:tab/>
        <w:t>La Direzione dei Lavori effettuerà inoltre gli opportuni riscontri sul volume del conglomerato cementizio impiegato, che dovrà sempre risultare superiore al volume calcolato sul diametro esterno del tubo-forma usato per l'esecuzione del palo.</w:t>
      </w:r>
    </w:p>
    <w:p w:rsidR="00F252A3" w:rsidRPr="00484DB6" w:rsidRDefault="00F252A3" w:rsidP="00F252A3">
      <w:pPr>
        <w:ind w:left="566" w:right="1" w:hanging="283"/>
        <w:rPr>
          <w:rFonts w:cs="Arial"/>
          <w:sz w:val="20"/>
        </w:rPr>
      </w:pPr>
      <w:r w:rsidRPr="00484DB6">
        <w:rPr>
          <w:rFonts w:cs="Arial"/>
          <w:sz w:val="20"/>
        </w:rPr>
        <w:t>b)</w:t>
      </w:r>
      <w:r w:rsidRPr="00484DB6">
        <w:rPr>
          <w:rFonts w:cs="Arial"/>
          <w:sz w:val="20"/>
        </w:rPr>
        <w:tab/>
        <w:t>Pali trivellati in cemento armato.</w:t>
      </w:r>
    </w:p>
    <w:p w:rsidR="00F252A3" w:rsidRPr="00484DB6" w:rsidRDefault="00F252A3" w:rsidP="00F252A3">
      <w:pPr>
        <w:ind w:left="566" w:right="1" w:hanging="283"/>
        <w:rPr>
          <w:rFonts w:cs="Arial"/>
          <w:sz w:val="20"/>
        </w:rPr>
      </w:pPr>
      <w:r w:rsidRPr="00484DB6">
        <w:rPr>
          <w:rFonts w:cs="Arial"/>
          <w:sz w:val="20"/>
        </w:rPr>
        <w:tab/>
        <w:t>Lo scavo per la costruzione dei pali trivellati verrà eseguito asportando il terreno corrispondente al volume del fusto del palo. Il sostegno delle pareti dello scavo, in dipendenza della natura del terreno e delle altre condizioni cui la esecuzione dei pali può essere soggetta, sarà assicurato in uno dei seguenti modi:</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mediante infissione di rivestimento tubolare provvisorio in acciaio;</w:t>
      </w:r>
    </w:p>
    <w:p w:rsidR="00F252A3" w:rsidRPr="00484DB6" w:rsidRDefault="00F252A3" w:rsidP="00F252A3">
      <w:pPr>
        <w:ind w:left="708" w:right="1" w:hanging="141"/>
        <w:rPr>
          <w:rFonts w:cs="Arial"/>
          <w:sz w:val="20"/>
        </w:rPr>
      </w:pPr>
      <w:r w:rsidRPr="00484DB6">
        <w:rPr>
          <w:rFonts w:cs="Arial"/>
          <w:sz w:val="20"/>
        </w:rPr>
        <w:t>-</w:t>
      </w:r>
      <w:r w:rsidRPr="00484DB6">
        <w:rPr>
          <w:rFonts w:cs="Arial"/>
          <w:sz w:val="20"/>
        </w:rPr>
        <w:tab/>
        <w:t>con l'ausilio dei fanghi bentonitici in quiete nel cavo od in circolazione tra il cavo ed una apparecchiatura di separazione dei detriti.</w:t>
      </w:r>
    </w:p>
    <w:p w:rsidR="00F252A3" w:rsidRPr="00484DB6" w:rsidRDefault="00F252A3" w:rsidP="00F252A3">
      <w:pPr>
        <w:ind w:left="566" w:right="1" w:hanging="283"/>
        <w:rPr>
          <w:rFonts w:cs="Arial"/>
          <w:sz w:val="20"/>
        </w:rPr>
      </w:pPr>
      <w:r w:rsidRPr="00484DB6">
        <w:rPr>
          <w:rFonts w:cs="Arial"/>
          <w:sz w:val="20"/>
        </w:rPr>
        <w:tab/>
        <w:t>Per i pali trivellati su terreno sommerso d'acqua si farà ricorso, per l'attraversamento del battente d'acqua, all'impiego di un rivestimento tubolare di acciaio opportunamente infisso nel terreno di imposta, avente le necessarie caratteristiche meccaniche per resistere agli sforzi ed alle sollecitazioni indotte durante l'infissione anche con uso di vibratori; esso sarà di lunghezza tale da sporgere dal pelo d'acqua in modo da evitare invasamenti e consentire sia l'esecuzione degli scavi che la confezione del palo. Tale rivestimento tubolare costituirà cassero a perdere per la parte del palo interessata dal battente d'acqua. L'infissione del tubo-forma dovrà, in ogni caso precedere lo scavo.</w:t>
      </w:r>
    </w:p>
    <w:p w:rsidR="00F252A3" w:rsidRPr="00484DB6" w:rsidRDefault="00F252A3" w:rsidP="00F252A3">
      <w:pPr>
        <w:ind w:left="566" w:right="1" w:hanging="283"/>
        <w:rPr>
          <w:rFonts w:cs="Arial"/>
          <w:sz w:val="20"/>
        </w:rPr>
      </w:pPr>
      <w:r w:rsidRPr="00484DB6">
        <w:rPr>
          <w:rFonts w:cs="Arial"/>
          <w:sz w:val="20"/>
        </w:rPr>
        <w:tab/>
        <w:t>Nel caso in cui non si impieghi il tubo di rivestimento il diametro nominale del palo sarà pari al diametro dell'utensile di perforazione.</w:t>
      </w:r>
    </w:p>
    <w:p w:rsidR="00F252A3" w:rsidRPr="00484DB6" w:rsidRDefault="00F252A3" w:rsidP="00F252A3">
      <w:pPr>
        <w:ind w:left="566" w:right="1" w:hanging="283"/>
        <w:rPr>
          <w:rFonts w:cs="Arial"/>
          <w:sz w:val="20"/>
        </w:rPr>
      </w:pPr>
      <w:r w:rsidRPr="00484DB6">
        <w:rPr>
          <w:rFonts w:cs="Arial"/>
          <w:sz w:val="20"/>
        </w:rPr>
        <w:tab/>
        <w:t>Qualora si impieghi fango di perforazione per il sostegno delle pareti del foro, si procederà con le modalità stabilite per i diaframmi in calcestruzzo armato di cui al precedente articolo.</w:t>
      </w:r>
    </w:p>
    <w:p w:rsidR="00F252A3" w:rsidRPr="00484DB6" w:rsidRDefault="00F252A3" w:rsidP="00F252A3">
      <w:pPr>
        <w:ind w:left="566" w:right="1" w:hanging="283"/>
        <w:rPr>
          <w:rFonts w:cs="Arial"/>
          <w:sz w:val="20"/>
        </w:rPr>
      </w:pPr>
      <w:r w:rsidRPr="00484DB6">
        <w:rPr>
          <w:rFonts w:cs="Arial"/>
          <w:sz w:val="20"/>
        </w:rPr>
        <w:tab/>
        <w:t>Raggiunta la quota fissata per la base del palo, il fondo dovrà essere accuratamente sgombrato dai detriti di perforazione, melma, materiale sciolto smosso dagli utensili di perforazione, ecc.</w:t>
      </w:r>
    </w:p>
    <w:p w:rsidR="00F252A3" w:rsidRPr="00484DB6" w:rsidRDefault="00F252A3" w:rsidP="00F252A3">
      <w:pPr>
        <w:ind w:left="566" w:right="1" w:hanging="283"/>
        <w:rPr>
          <w:rFonts w:cs="Arial"/>
          <w:sz w:val="20"/>
        </w:rPr>
      </w:pPr>
      <w:r w:rsidRPr="00484DB6">
        <w:rPr>
          <w:rFonts w:cs="Arial"/>
          <w:sz w:val="20"/>
        </w:rPr>
        <w:tab/>
        <w:t>L'esecuzione del getto del conglomerato cementizio sarà effettuata con impiego del tubo di convogliamento, munito di imbuto di caricamento.</w:t>
      </w:r>
    </w:p>
    <w:p w:rsidR="00F252A3" w:rsidRPr="00484DB6" w:rsidRDefault="00F252A3" w:rsidP="00F252A3">
      <w:pPr>
        <w:ind w:left="566" w:right="1" w:hanging="283"/>
        <w:rPr>
          <w:rFonts w:cs="Arial"/>
          <w:sz w:val="20"/>
        </w:rPr>
      </w:pPr>
      <w:r w:rsidRPr="00484DB6">
        <w:rPr>
          <w:rFonts w:cs="Arial"/>
          <w:sz w:val="20"/>
        </w:rPr>
        <w:tab/>
        <w:t>Il cemento sarà del tipo pozzolanico o d'alto forno.</w:t>
      </w:r>
    </w:p>
    <w:p w:rsidR="00F252A3" w:rsidRPr="00484DB6" w:rsidRDefault="00F252A3" w:rsidP="00F252A3">
      <w:pPr>
        <w:ind w:left="566" w:right="1" w:hanging="283"/>
        <w:rPr>
          <w:rFonts w:cs="Arial"/>
          <w:sz w:val="20"/>
        </w:rPr>
      </w:pPr>
      <w:r w:rsidRPr="00484DB6">
        <w:rPr>
          <w:rFonts w:cs="Arial"/>
          <w:sz w:val="20"/>
        </w:rPr>
        <w:tab/>
        <w:t>In nessun caso sarà consentito porre in opera il conglomerato cementizio precipitandolo nel cavo direttamente dalla bocca del foro.</w:t>
      </w:r>
    </w:p>
    <w:p w:rsidR="00F252A3" w:rsidRPr="00484DB6" w:rsidRDefault="00F252A3" w:rsidP="00F252A3">
      <w:pPr>
        <w:ind w:left="566" w:right="1" w:hanging="283"/>
        <w:rPr>
          <w:rFonts w:cs="Arial"/>
          <w:sz w:val="20"/>
        </w:rPr>
      </w:pPr>
      <w:r w:rsidRPr="00484DB6">
        <w:rPr>
          <w:rFonts w:cs="Arial"/>
          <w:sz w:val="20"/>
        </w:rPr>
        <w:tab/>
        <w:t xml:space="preserve">L'Appaltatore dovrà predisporre impianti ed attrezzature per la confezione, il trasporto e la posa in opera del conglomerato cementizio, di potenzialità tale da consentire il completamento delle </w:t>
      </w:r>
      <w:r w:rsidRPr="00484DB6">
        <w:rPr>
          <w:rFonts w:cs="Arial"/>
          <w:sz w:val="20"/>
        </w:rPr>
        <w:lastRenderedPageBreak/>
        <w:t>operazioni di getto di ogni palo, qualunque ne sia il diametro e la lunghezza, senza interruzioni.</w:t>
      </w:r>
    </w:p>
    <w:p w:rsidR="00F252A3" w:rsidRPr="00484DB6" w:rsidRDefault="00F252A3" w:rsidP="00F252A3">
      <w:pPr>
        <w:ind w:left="566" w:right="1" w:hanging="283"/>
        <w:rPr>
          <w:rFonts w:cs="Arial"/>
          <w:sz w:val="20"/>
        </w:rPr>
      </w:pPr>
      <w:r w:rsidRPr="00484DB6">
        <w:rPr>
          <w:rFonts w:cs="Arial"/>
          <w:sz w:val="20"/>
        </w:rPr>
        <w:tab/>
        <w:t>Nel caso di impiego del tubo di rivestimento provvisorio, l'estrazione dello stesso dovrà essere eseguita gradualmente adottando tutti gli accorgimenti necessari per evitare che si creino distacchi, discontinuità od inclusioni di materiali estranei al corpo del palo.</w:t>
      </w:r>
    </w:p>
    <w:p w:rsidR="00F252A3" w:rsidRPr="00484DB6" w:rsidRDefault="00F252A3" w:rsidP="00F252A3">
      <w:pPr>
        <w:ind w:left="566" w:right="1" w:hanging="283"/>
        <w:rPr>
          <w:rFonts w:cs="Arial"/>
          <w:sz w:val="20"/>
        </w:rPr>
      </w:pPr>
      <w:r w:rsidRPr="00484DB6">
        <w:rPr>
          <w:rFonts w:cs="Arial"/>
          <w:sz w:val="20"/>
        </w:rPr>
        <w:tab/>
        <w:t>Le armature metalliche dovranno essere assemblate fuori opera e calate nel foro prima dell'inizio del getto del conglomerato cementizio; nel caso in cui il palo sia armato per tutta la lunghezza, esse dovranno essere mantenute in posto nel foro, sospendendole dall'alto e non appoggiandole sul fondo.</w:t>
      </w:r>
    </w:p>
    <w:p w:rsidR="00F252A3" w:rsidRPr="00484DB6" w:rsidRDefault="00F252A3" w:rsidP="00F252A3">
      <w:pPr>
        <w:ind w:left="566" w:right="1" w:hanging="283"/>
        <w:rPr>
          <w:rFonts w:cs="Arial"/>
          <w:sz w:val="20"/>
        </w:rPr>
      </w:pPr>
      <w:r w:rsidRPr="00484DB6">
        <w:rPr>
          <w:rFonts w:cs="Arial"/>
          <w:sz w:val="20"/>
        </w:rPr>
        <w:tab/>
        <w:t>Le armature dovranno essere provviste di opportuni dispositivi distanziatori e centratori atti a garantire una adeguata copertura di conglomerato cementizio sui ferri che sarà di 5 cm.</w:t>
      </w:r>
    </w:p>
    <w:p w:rsidR="00F252A3" w:rsidRPr="00484DB6" w:rsidRDefault="00F252A3" w:rsidP="00F252A3">
      <w:pPr>
        <w:ind w:left="566" w:right="1" w:hanging="283"/>
        <w:rPr>
          <w:rFonts w:cs="Arial"/>
          <w:sz w:val="20"/>
        </w:rPr>
      </w:pPr>
      <w:r w:rsidRPr="00484DB6">
        <w:rPr>
          <w:rFonts w:cs="Arial"/>
          <w:sz w:val="20"/>
        </w:rPr>
        <w:tab/>
        <w:t>I sistemi di getto dovranno essere in ogni caso tali da non danneggiare l'armatura né alterarne la posizione, rispetto ai disegni di progetto.</w:t>
      </w:r>
    </w:p>
    <w:p w:rsidR="00F252A3" w:rsidRPr="00484DB6" w:rsidRDefault="00F252A3" w:rsidP="00F252A3">
      <w:pPr>
        <w:ind w:left="566" w:right="1" w:hanging="283"/>
        <w:rPr>
          <w:rFonts w:cs="Arial"/>
          <w:sz w:val="20"/>
        </w:rPr>
      </w:pPr>
      <w:r w:rsidRPr="00484DB6">
        <w:rPr>
          <w:rFonts w:cs="Arial"/>
          <w:sz w:val="20"/>
        </w:rPr>
        <w:tab/>
        <w:t>A giudizio della Direzione dei Lavori, i pali che ad un controllo, anche con trivellazione in asse, risultassero comunque difettosi, dovranno essere rifatti.</w:t>
      </w:r>
    </w:p>
    <w:p w:rsidR="00F252A3" w:rsidRPr="00484DB6" w:rsidRDefault="00F252A3" w:rsidP="00F252A3">
      <w:pPr>
        <w:ind w:left="566" w:right="1" w:hanging="283"/>
        <w:rPr>
          <w:rFonts w:cs="Arial"/>
          <w:sz w:val="20"/>
        </w:rPr>
      </w:pPr>
      <w:r w:rsidRPr="00484DB6">
        <w:rPr>
          <w:rFonts w:cs="Arial"/>
          <w:sz w:val="20"/>
        </w:rPr>
        <w:t>c)</w:t>
      </w:r>
      <w:r w:rsidRPr="00484DB6">
        <w:rPr>
          <w:rFonts w:cs="Arial"/>
          <w:sz w:val="20"/>
        </w:rPr>
        <w:tab/>
        <w:t>Pali trivellati di piccolo diametro di malta cementizia iniettata ed armatura metallica.</w:t>
      </w:r>
    </w:p>
    <w:p w:rsidR="00F252A3" w:rsidRPr="00484DB6" w:rsidRDefault="00F252A3" w:rsidP="00F252A3">
      <w:pPr>
        <w:ind w:left="566" w:right="1" w:hanging="283"/>
        <w:rPr>
          <w:rFonts w:cs="Arial"/>
          <w:sz w:val="20"/>
        </w:rPr>
      </w:pPr>
      <w:r w:rsidRPr="00484DB6">
        <w:rPr>
          <w:rFonts w:cs="Arial"/>
          <w:sz w:val="20"/>
        </w:rPr>
        <w:tab/>
        <w:t>La perforazione, con asportazione del terreno, verrà eseguita con il sistema più adatto alle condizioni che di volta in volta si incontrano e che abbia avuto la preventiva approvazione da parte della Direzione dei Lavori.</w:t>
      </w:r>
    </w:p>
    <w:p w:rsidR="00F252A3" w:rsidRPr="00484DB6" w:rsidRDefault="00F252A3" w:rsidP="00F252A3">
      <w:pPr>
        <w:ind w:left="566" w:right="1" w:hanging="283"/>
        <w:rPr>
          <w:rFonts w:cs="Arial"/>
          <w:sz w:val="20"/>
        </w:rPr>
      </w:pPr>
      <w:r w:rsidRPr="00484DB6">
        <w:rPr>
          <w:rFonts w:cs="Arial"/>
          <w:sz w:val="20"/>
        </w:rPr>
        <w:tab/>
        <w:t>Lo spostamento planimetrico della posizione teorica dei pali non dovrà superare 5 cm e l'inclinazione, rispetto all'asse teorico, non dovrà superare il 3%.</w:t>
      </w:r>
    </w:p>
    <w:p w:rsidR="00F252A3" w:rsidRPr="00484DB6" w:rsidRDefault="00F252A3" w:rsidP="00F252A3">
      <w:pPr>
        <w:ind w:left="566" w:right="1" w:hanging="283"/>
        <w:rPr>
          <w:rFonts w:cs="Arial"/>
          <w:sz w:val="20"/>
        </w:rPr>
      </w:pPr>
      <w:r w:rsidRPr="00484DB6">
        <w:rPr>
          <w:rFonts w:cs="Arial"/>
          <w:sz w:val="20"/>
        </w:rPr>
        <w:tab/>
        <w:t>Per valori di scostamento superiori ai suddetti, la Direzione dei Lavori deciderà se scartare i pali che dovranno eventualmente essere rimossi e sostituiti.</w:t>
      </w:r>
    </w:p>
    <w:p w:rsidR="00F252A3" w:rsidRPr="00484DB6" w:rsidRDefault="00F252A3" w:rsidP="00F252A3">
      <w:pPr>
        <w:ind w:left="566" w:right="1" w:hanging="283"/>
        <w:rPr>
          <w:rFonts w:cs="Arial"/>
          <w:sz w:val="20"/>
        </w:rPr>
      </w:pPr>
      <w:r w:rsidRPr="00484DB6">
        <w:rPr>
          <w:rFonts w:cs="Arial"/>
          <w:sz w:val="20"/>
        </w:rPr>
        <w:tab/>
        <w:t>Qualora si impieghi fango di perforazione per il sostegno delle pareti del foro, si procederà con le modalità stabilite per i diaframmi di calcestruzzo armato di cui al precedente articolo.</w:t>
      </w:r>
    </w:p>
    <w:p w:rsidR="00F252A3" w:rsidRPr="00484DB6" w:rsidRDefault="00F252A3" w:rsidP="00F252A3">
      <w:pPr>
        <w:ind w:left="566" w:right="1" w:hanging="283"/>
        <w:rPr>
          <w:rFonts w:cs="Arial"/>
          <w:sz w:val="20"/>
        </w:rPr>
      </w:pPr>
      <w:r w:rsidRPr="00484DB6">
        <w:rPr>
          <w:rFonts w:cs="Arial"/>
          <w:sz w:val="20"/>
        </w:rPr>
        <w:t>d)</w:t>
      </w:r>
      <w:r w:rsidRPr="00484DB6">
        <w:rPr>
          <w:rFonts w:cs="Arial"/>
          <w:sz w:val="20"/>
        </w:rPr>
        <w:tab/>
        <w:t xml:space="preserve">Pali jet </w:t>
      </w:r>
      <w:proofErr w:type="spellStart"/>
      <w:r w:rsidRPr="00484DB6">
        <w:rPr>
          <w:rFonts w:cs="Arial"/>
          <w:sz w:val="20"/>
        </w:rPr>
        <w:t>grouding</w:t>
      </w:r>
      <w:proofErr w:type="spellEnd"/>
      <w:r w:rsidRPr="00484DB6">
        <w:rPr>
          <w:rFonts w:cs="Arial"/>
          <w:sz w:val="20"/>
        </w:rPr>
        <w:t>.</w:t>
      </w:r>
    </w:p>
    <w:p w:rsidR="00F252A3" w:rsidRPr="00484DB6" w:rsidRDefault="00F252A3" w:rsidP="00F252A3">
      <w:pPr>
        <w:ind w:left="566" w:right="1" w:hanging="283"/>
        <w:rPr>
          <w:rFonts w:cs="Arial"/>
          <w:sz w:val="20"/>
        </w:rPr>
      </w:pPr>
      <w:r w:rsidRPr="00484DB6">
        <w:rPr>
          <w:rFonts w:cs="Arial"/>
          <w:sz w:val="20"/>
        </w:rPr>
        <w:tab/>
        <w:t xml:space="preserve">I pali tipo jet </w:t>
      </w:r>
      <w:proofErr w:type="spellStart"/>
      <w:r w:rsidRPr="00484DB6">
        <w:rPr>
          <w:rFonts w:cs="Arial"/>
          <w:sz w:val="20"/>
        </w:rPr>
        <w:t>grouding</w:t>
      </w:r>
      <w:proofErr w:type="spellEnd"/>
      <w:r w:rsidRPr="00484DB6">
        <w:rPr>
          <w:rFonts w:cs="Arial"/>
          <w:sz w:val="20"/>
        </w:rPr>
        <w:t>, o colonne consolidate di terreno, saranno ottenute mediante perforazione senza asportazione di materiale e successiva iniezione ad elevata pressione di miscele consolidanti di caratteristiche rispondenti ai requisiti di progetto ed approvate dalla Direzione dei Lavori.</w:t>
      </w:r>
    </w:p>
    <w:p w:rsidR="00F252A3" w:rsidRPr="00484DB6" w:rsidRDefault="00F252A3" w:rsidP="00F252A3">
      <w:pPr>
        <w:ind w:left="566" w:right="1" w:hanging="283"/>
        <w:rPr>
          <w:rFonts w:cs="Arial"/>
          <w:sz w:val="20"/>
        </w:rPr>
      </w:pPr>
      <w:r w:rsidRPr="00484DB6">
        <w:rPr>
          <w:rFonts w:cs="Arial"/>
          <w:sz w:val="20"/>
        </w:rPr>
        <w:tab/>
        <w:t>Alla stessa Direzione dei Lavori dovrà essere sottoposto, per l'approvazione, l'intero procedimento costruttivo con particolare riguardo ai parametri da utilizzare per la realizzazione delle colonne, e cioè la densità e la pressione della miscela cementizia, la rotazione ed il tempo di risalita della batteria di aste, ed alle modalità di controllo dei parametri stessi.</w:t>
      </w:r>
    </w:p>
    <w:p w:rsidR="00F252A3" w:rsidRPr="00484DB6" w:rsidRDefault="00F252A3" w:rsidP="00F252A3">
      <w:pPr>
        <w:ind w:left="566" w:right="1" w:hanging="283"/>
        <w:rPr>
          <w:rFonts w:cs="Arial"/>
          <w:sz w:val="20"/>
        </w:rPr>
      </w:pPr>
    </w:p>
    <w:p w:rsidR="00F252A3" w:rsidRPr="00484DB6" w:rsidRDefault="00F252A3" w:rsidP="00F252A3">
      <w:pPr>
        <w:rPr>
          <w:rFonts w:cs="Arial"/>
          <w:sz w:val="20"/>
        </w:rPr>
      </w:pPr>
      <w:r w:rsidRPr="00484DB6">
        <w:rPr>
          <w:rFonts w:cs="Arial"/>
          <w:b/>
          <w:sz w:val="20"/>
        </w:rPr>
        <w:t>4.3.3) Disposizioni valevoli per ogni palificazione portante</w:t>
      </w:r>
    </w:p>
    <w:p w:rsidR="00F252A3" w:rsidRPr="00484DB6" w:rsidRDefault="00F252A3" w:rsidP="00F252A3">
      <w:pPr>
        <w:rPr>
          <w:rFonts w:cs="Arial"/>
          <w:sz w:val="20"/>
        </w:rPr>
      </w:pPr>
    </w:p>
    <w:p w:rsidR="00F252A3" w:rsidRPr="00484DB6" w:rsidRDefault="00F252A3" w:rsidP="00F252A3">
      <w:pPr>
        <w:ind w:left="568" w:hanging="284"/>
        <w:rPr>
          <w:rFonts w:cs="Arial"/>
          <w:sz w:val="20"/>
        </w:rPr>
      </w:pPr>
      <w:r w:rsidRPr="00484DB6">
        <w:rPr>
          <w:rFonts w:cs="Arial"/>
          <w:sz w:val="20"/>
        </w:rPr>
        <w:t>a)</w:t>
      </w:r>
      <w:r w:rsidRPr="00484DB6">
        <w:rPr>
          <w:rFonts w:cs="Arial"/>
          <w:sz w:val="20"/>
        </w:rPr>
        <w:tab/>
        <w:t>Prove di carico.</w:t>
      </w:r>
    </w:p>
    <w:p w:rsidR="00F252A3" w:rsidRPr="00484DB6" w:rsidRDefault="00F252A3" w:rsidP="00F252A3">
      <w:pPr>
        <w:ind w:left="568" w:hanging="284"/>
        <w:rPr>
          <w:rFonts w:cs="Arial"/>
          <w:sz w:val="20"/>
        </w:rPr>
      </w:pPr>
      <w:r w:rsidRPr="00484DB6">
        <w:rPr>
          <w:rFonts w:cs="Arial"/>
          <w:sz w:val="20"/>
        </w:rPr>
        <w:tab/>
        <w:t>I pali saranno sottoposti a prove di carico statico o a prove di ribattitura in relazione alle condizioni ed alle caratteristiche del suolo e in conformità al DM 17 gennaio 2018 e alle relative norme vigenti.</w:t>
      </w:r>
    </w:p>
    <w:p w:rsidR="00F252A3" w:rsidRPr="00484DB6" w:rsidRDefault="00F252A3" w:rsidP="00F252A3">
      <w:pPr>
        <w:ind w:left="568" w:hanging="284"/>
        <w:rPr>
          <w:rFonts w:cs="Arial"/>
          <w:sz w:val="20"/>
        </w:rPr>
      </w:pPr>
      <w:r w:rsidRPr="00484DB6">
        <w:rPr>
          <w:rFonts w:cs="Arial"/>
          <w:sz w:val="20"/>
        </w:rPr>
        <w:t>b)</w:t>
      </w:r>
      <w:r w:rsidRPr="00484DB6">
        <w:rPr>
          <w:rFonts w:cs="Arial"/>
          <w:sz w:val="20"/>
        </w:rPr>
        <w:tab/>
        <w:t>Controlli non distruttivi.</w:t>
      </w:r>
    </w:p>
    <w:p w:rsidR="00F252A3" w:rsidRPr="00484DB6" w:rsidRDefault="00F252A3" w:rsidP="00F252A3">
      <w:pPr>
        <w:ind w:left="568"/>
        <w:rPr>
          <w:rFonts w:cs="Arial"/>
          <w:sz w:val="20"/>
        </w:rPr>
      </w:pPr>
      <w:r w:rsidRPr="00484DB6">
        <w:rPr>
          <w:rFonts w:cs="Arial"/>
          <w:sz w:val="20"/>
        </w:rPr>
        <w:t>Oltre alle prove di resistenza dei calcestruzzi e sugli acciai impiegati previsti dalle vigenti norme, la Direzione dei Lavori potrà richiedere prove secondo il metodo dell'eco o carotaggi sonici in modo da individuare gli eventuali difetti e controllare la continuità.</w:t>
      </w:r>
    </w:p>
    <w:p w:rsidR="00F252A3" w:rsidRPr="00484DB6" w:rsidRDefault="00F252A3" w:rsidP="00F252A3">
      <w:pPr>
        <w:ind w:left="568"/>
        <w:rPr>
          <w:rFonts w:cs="Arial"/>
          <w:sz w:val="20"/>
        </w:rPr>
      </w:pPr>
    </w:p>
    <w:p w:rsidR="00F252A3" w:rsidRPr="00484DB6" w:rsidRDefault="00F252A3" w:rsidP="00F252A3">
      <w:pPr>
        <w:ind w:left="426" w:hanging="142"/>
        <w:rPr>
          <w:rFonts w:cs="Arial"/>
          <w:sz w:val="20"/>
        </w:rPr>
      </w:pPr>
      <w:r w:rsidRPr="00484DB6">
        <w:rPr>
          <w:rFonts w:cs="Arial"/>
          <w:sz w:val="20"/>
        </w:rPr>
        <w:t xml:space="preserve">Per quanto non espressamente contemplato nel presente articolo, le modalità esecutive devono essere conformi alle indicazioni della normativa consolidata. </w:t>
      </w:r>
    </w:p>
    <w:p w:rsidR="00F252A3" w:rsidRPr="00484DB6" w:rsidRDefault="00F252A3" w:rsidP="00F252A3">
      <w:pPr>
        <w:ind w:left="426" w:hanging="142"/>
        <w:rPr>
          <w:rFonts w:cs="Arial"/>
          <w:sz w:val="20"/>
        </w:rPr>
      </w:pPr>
    </w:p>
    <w:p w:rsidR="00F252A3" w:rsidRPr="00484DB6" w:rsidRDefault="00F252A3" w:rsidP="00F252A3">
      <w:pPr>
        <w:rPr>
          <w:rFonts w:cs="Arial"/>
          <w:b/>
          <w:sz w:val="20"/>
        </w:rPr>
      </w:pPr>
      <w:r w:rsidRPr="00484DB6">
        <w:rPr>
          <w:rFonts w:cs="Arial"/>
          <w:b/>
          <w:sz w:val="20"/>
        </w:rPr>
        <w:t>4.3.4) Prove sui pali</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Tutte le prove sui pali sono a carico dell'impresa e dovranno essere eseguite da laboratori o strutture accettate dalla Direzione dei Lavori. Nell'esecuzione delle prove oltre a quanto prescritto nel presente capitolato e negli elaborati progettuali devono essere rispettate le vigenti norme.</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i/>
          <w:sz w:val="20"/>
        </w:rPr>
        <w:t>Pali di prova</w:t>
      </w:r>
    </w:p>
    <w:p w:rsidR="00F252A3" w:rsidRPr="00484DB6" w:rsidRDefault="00F252A3" w:rsidP="00F252A3">
      <w:pPr>
        <w:ind w:firstLine="284"/>
        <w:rPr>
          <w:rFonts w:cs="Arial"/>
          <w:sz w:val="20"/>
        </w:rPr>
      </w:pPr>
      <w:r w:rsidRPr="00484DB6">
        <w:rPr>
          <w:rFonts w:cs="Arial"/>
          <w:sz w:val="20"/>
        </w:rPr>
        <w:t>Prima dell'inizio della costruzione della palificata devono essere eseguiti pali pilota, nel numero indicato dalla Direzione lavori; l'ubicazione di tali pali deve essere stabilita dalla Direzione dei Lavori e risultare esattamente dai verbali che verranno redatti sulle prove eseguite.</w:t>
      </w:r>
    </w:p>
    <w:p w:rsidR="00F252A3" w:rsidRPr="00484DB6" w:rsidRDefault="00F252A3" w:rsidP="00F252A3">
      <w:pPr>
        <w:ind w:firstLine="284"/>
        <w:rPr>
          <w:rFonts w:cs="Arial"/>
          <w:sz w:val="20"/>
        </w:rPr>
      </w:pPr>
      <w:r w:rsidRPr="00484DB6">
        <w:rPr>
          <w:rFonts w:cs="Arial"/>
          <w:sz w:val="20"/>
        </w:rPr>
        <w:t xml:space="preserve">Le prove di carico per la determinazione del carico limite del palo singolo devono essere spinte fino a valori del carico assiale tali da portare a rottura il complesso palo-terreno, o comunque tali da </w:t>
      </w:r>
      <w:r w:rsidRPr="00484DB6">
        <w:rPr>
          <w:rFonts w:cs="Arial"/>
          <w:sz w:val="20"/>
        </w:rPr>
        <w:lastRenderedPageBreak/>
        <w:t>consentire di ricavare significativi diagrammi abbassamenti-carichi e abbassamenti-tempi.</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i/>
          <w:sz w:val="20"/>
        </w:rPr>
        <w:t>Prove di collaudo statico</w:t>
      </w:r>
    </w:p>
    <w:p w:rsidR="00F252A3" w:rsidRPr="00484DB6" w:rsidRDefault="00F252A3" w:rsidP="00F252A3">
      <w:pPr>
        <w:ind w:firstLine="284"/>
        <w:rPr>
          <w:rFonts w:cs="Arial"/>
          <w:sz w:val="20"/>
        </w:rPr>
      </w:pPr>
      <w:r w:rsidRPr="00484DB6">
        <w:rPr>
          <w:rFonts w:cs="Arial"/>
          <w:sz w:val="20"/>
        </w:rPr>
        <w:t>Per le prove di collaudo, i pali di prova vanno prescelti fra quelli costituenti l'intera palificata e indicati dalla Direzione dei Lavori o dal Collaudatore: il loro numero deve essere pari ad almeno l'1% del numero totale dei pali, con un minimo di due.</w:t>
      </w:r>
    </w:p>
    <w:p w:rsidR="00F252A3" w:rsidRPr="00484DB6" w:rsidRDefault="00F252A3" w:rsidP="00F252A3">
      <w:pPr>
        <w:ind w:firstLine="284"/>
        <w:rPr>
          <w:rFonts w:cs="Arial"/>
          <w:sz w:val="20"/>
        </w:rPr>
      </w:pPr>
      <w:r w:rsidRPr="00484DB6">
        <w:rPr>
          <w:rFonts w:cs="Arial"/>
          <w:sz w:val="20"/>
        </w:rPr>
        <w:t>Le prove di collaudo dei pali di diametro inferiore a 80 cm devono essere spinte fino a 1,5 volte il carico ammissibile del palo singolo, con applicazione graduale del carico sul palo.</w:t>
      </w:r>
    </w:p>
    <w:p w:rsidR="00F252A3" w:rsidRPr="00484DB6" w:rsidRDefault="00F252A3" w:rsidP="00F252A3">
      <w:pPr>
        <w:ind w:firstLine="284"/>
        <w:rPr>
          <w:rFonts w:cs="Arial"/>
          <w:sz w:val="20"/>
        </w:rPr>
      </w:pPr>
      <w:r w:rsidRPr="00484DB6">
        <w:rPr>
          <w:rFonts w:cs="Arial"/>
          <w:sz w:val="20"/>
        </w:rPr>
        <w:t xml:space="preserve">Ove previsto in progetto, l'Impresa è tenuta ad effettuare sui pali prove di carico orizzontale, prove </w:t>
      </w:r>
      <w:proofErr w:type="spellStart"/>
      <w:r w:rsidRPr="00484DB6">
        <w:rPr>
          <w:rFonts w:cs="Arial"/>
          <w:sz w:val="20"/>
        </w:rPr>
        <w:t>estensimetriche</w:t>
      </w:r>
      <w:proofErr w:type="spellEnd"/>
      <w:r w:rsidRPr="00484DB6">
        <w:rPr>
          <w:rFonts w:cs="Arial"/>
          <w:sz w:val="20"/>
        </w:rPr>
        <w:t>, carotaggi sonici, ecc.; le prove di carico verticale di cui alle norme vigenti sono integralmente a carico dell'impresa, mentre per le prove di altro tipo sarà applicata la corrispondente voce dell'elenco dei prezzi unitari.</w:t>
      </w:r>
    </w:p>
    <w:p w:rsidR="00F252A3" w:rsidRPr="00484DB6" w:rsidRDefault="00F252A3" w:rsidP="00F252A3">
      <w:pPr>
        <w:ind w:firstLine="284"/>
        <w:rPr>
          <w:rFonts w:cs="Arial"/>
          <w:sz w:val="20"/>
        </w:rPr>
      </w:pPr>
    </w:p>
    <w:p w:rsidR="00F252A3" w:rsidRPr="00484DB6" w:rsidRDefault="00F252A3" w:rsidP="00F252A3">
      <w:pPr>
        <w:rPr>
          <w:rFonts w:cs="Arial"/>
          <w:b/>
          <w:sz w:val="20"/>
        </w:rPr>
      </w:pPr>
      <w:bookmarkStart w:id="22" w:name="306"/>
      <w:bookmarkEnd w:id="22"/>
      <w:r w:rsidRPr="00484DB6">
        <w:rPr>
          <w:rFonts w:cs="Arial"/>
          <w:b/>
          <w:sz w:val="20"/>
        </w:rPr>
        <w:t>Pali trivellati di grande diametro</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Sui pali trivellati si eseguiranno prove tipo Cross Hole. Il metodo di prova si basa sulla registrazione continua di segnali di frequenza ultrasonica dopo l'attraversamento di sezioni di calcestruzzo: esso richiede la predisposizione del palo su tutta l'altezza, prima del getto, con tre (o più) tubi diametro 1' ed un quarto neri, filettati e </w:t>
      </w:r>
      <w:proofErr w:type="spellStart"/>
      <w:r w:rsidRPr="00484DB6">
        <w:rPr>
          <w:rFonts w:cs="Arial"/>
          <w:sz w:val="20"/>
        </w:rPr>
        <w:t>manicottati</w:t>
      </w:r>
      <w:proofErr w:type="spellEnd"/>
      <w:r w:rsidRPr="00484DB6">
        <w:rPr>
          <w:rFonts w:cs="Arial"/>
          <w:sz w:val="20"/>
        </w:rPr>
        <w:t xml:space="preserve"> tipo </w:t>
      </w:r>
      <w:proofErr w:type="spellStart"/>
      <w:r w:rsidRPr="00484DB6">
        <w:rPr>
          <w:rFonts w:cs="Arial"/>
          <w:sz w:val="20"/>
        </w:rPr>
        <w:t>Fretz-Moon</w:t>
      </w:r>
      <w:proofErr w:type="spellEnd"/>
      <w:r w:rsidRPr="00484DB6">
        <w:rPr>
          <w:rFonts w:cs="Arial"/>
          <w:sz w:val="20"/>
        </w:rPr>
        <w:t xml:space="preserve"> e similari.</w:t>
      </w:r>
    </w:p>
    <w:p w:rsidR="00F252A3" w:rsidRPr="00484DB6" w:rsidRDefault="00F252A3" w:rsidP="00F252A3">
      <w:pPr>
        <w:ind w:firstLine="284"/>
        <w:rPr>
          <w:rFonts w:cs="Arial"/>
          <w:sz w:val="20"/>
        </w:rPr>
      </w:pPr>
      <w:r w:rsidRPr="00484DB6">
        <w:rPr>
          <w:rFonts w:cs="Arial"/>
          <w:sz w:val="20"/>
        </w:rPr>
        <w:t>Tali tubi saranno inseriti nella gabbia d'armatura prima della sua posa in opera, ai vertici di un triangolo equilatero, legati all'interno delle spirali e dovranno restare approssimativamente parallele anche dopo la loro messa in opera ed il getto successivo del palo. Entro tali tubi verranno fatte scorrere, durante l'esecuzione delle prove, apposite sonde da 25 mm di diametro e 30 cm di lunghezza: i tubi dovranno quindi essere liberi da ostacoli e successivamente riempiti con acqua chiara.</w:t>
      </w:r>
    </w:p>
    <w:p w:rsidR="00F252A3" w:rsidRPr="00484DB6" w:rsidRDefault="00F252A3" w:rsidP="00F252A3">
      <w:pPr>
        <w:ind w:firstLine="284"/>
        <w:rPr>
          <w:rFonts w:cs="Arial"/>
          <w:sz w:val="20"/>
        </w:rPr>
      </w:pPr>
      <w:r w:rsidRPr="00484DB6">
        <w:rPr>
          <w:rFonts w:cs="Arial"/>
          <w:sz w:val="20"/>
        </w:rPr>
        <w:t>Il metodo adottato dovrà consentire di rappresentare il segnale di ricezione in maniera globale per la valutazione dell'omogeneità delle sezioni esaminate.</w:t>
      </w:r>
    </w:p>
    <w:p w:rsidR="00F252A3" w:rsidRPr="00484DB6" w:rsidRDefault="00F252A3" w:rsidP="00F252A3">
      <w:pPr>
        <w:ind w:firstLine="284"/>
        <w:rPr>
          <w:rFonts w:cs="Arial"/>
          <w:sz w:val="20"/>
        </w:rPr>
      </w:pPr>
      <w:r w:rsidRPr="00484DB6">
        <w:rPr>
          <w:rFonts w:cs="Arial"/>
          <w:sz w:val="20"/>
        </w:rPr>
        <w:t xml:space="preserve">Sui pali trivellati è prevista inoltre una prova di carico non distruttiva con celle di </w:t>
      </w:r>
      <w:proofErr w:type="spellStart"/>
      <w:r w:rsidRPr="00484DB6">
        <w:rPr>
          <w:rFonts w:cs="Arial"/>
          <w:sz w:val="20"/>
        </w:rPr>
        <w:t>Osterrberg</w:t>
      </w:r>
      <w:proofErr w:type="spellEnd"/>
      <w:r w:rsidRPr="00484DB6">
        <w:rPr>
          <w:rFonts w:cs="Arial"/>
          <w:sz w:val="20"/>
        </w:rPr>
        <w:t>.</w:t>
      </w:r>
    </w:p>
    <w:p w:rsidR="00F252A3" w:rsidRPr="00484DB6" w:rsidRDefault="00F252A3" w:rsidP="00F252A3">
      <w:pPr>
        <w:ind w:firstLine="284"/>
        <w:rPr>
          <w:rFonts w:cs="Arial"/>
          <w:sz w:val="20"/>
        </w:rPr>
      </w:pPr>
      <w:r w:rsidRPr="00484DB6">
        <w:rPr>
          <w:rFonts w:cs="Arial"/>
          <w:sz w:val="20"/>
        </w:rPr>
        <w:t xml:space="preserve">Compreso la predisposizione di idoneo sistema idraulico necessario per la messa in pressione della cella per tutta la lunghezza del palo, l'impiego di trasduttori di tipo </w:t>
      </w:r>
      <w:proofErr w:type="spellStart"/>
      <w:r w:rsidRPr="00484DB6">
        <w:rPr>
          <w:rFonts w:cs="Arial"/>
          <w:sz w:val="20"/>
        </w:rPr>
        <w:t>LVWDTs</w:t>
      </w:r>
      <w:proofErr w:type="spellEnd"/>
      <w:r w:rsidRPr="00484DB6">
        <w:rPr>
          <w:rFonts w:cs="Arial"/>
          <w:sz w:val="20"/>
        </w:rPr>
        <w:t xml:space="preserve"> nel numero non inferiore a 3 unità posizionati tra la piastra inferiore e la piastra superiore della cella di carico, l'impiego di n. 2 strain gauges e relativi materiali accessori per il collegamento tra la piastra superiore della cella e la testa del palo, i collegamenti necessari, le attrezzature di carico e misura adeguate. Compreso altresì ogni altro materiale di consumo, ogni onere e magistero per lo svolgimento della prova, ogni attrezzatura necessaria, l'assistenza e la supervisione per le varie fasi di svolgimento dell'intervento, l'impiego di personale tecnico specializzato, la redazione dell'apposita relazione descrittiva, nonché il rilascio del report finale sulla prova svolta.</w:t>
      </w:r>
    </w:p>
    <w:p w:rsidR="00F252A3" w:rsidRPr="00484DB6" w:rsidRDefault="00F252A3" w:rsidP="00F252A3">
      <w:pPr>
        <w:rPr>
          <w:rFonts w:cs="Arial"/>
          <w:sz w:val="14"/>
        </w:rPr>
      </w:pPr>
    </w:p>
    <w:p w:rsidR="00F252A3" w:rsidRPr="00484DB6" w:rsidRDefault="00F252A3" w:rsidP="00F252A3">
      <w:pPr>
        <w:rPr>
          <w:rFonts w:cs="Arial"/>
          <w:b/>
          <w:sz w:val="20"/>
        </w:rPr>
      </w:pPr>
      <w:bookmarkStart w:id="23" w:name="307"/>
      <w:bookmarkEnd w:id="23"/>
      <w:r w:rsidRPr="00484DB6">
        <w:rPr>
          <w:rFonts w:cs="Arial"/>
          <w:b/>
          <w:sz w:val="20"/>
        </w:rPr>
        <w:t>Ancoraggi - Micropali</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Nella costruzione di ancoraggi e nell’esecuzione delle prove di carico per la determinazione del carico limite del singolo ancoraggio e delle prove di collaudo – al fine di controllare il comportamento degli ancoraggi eseguiti – devono essere osservate le specifiche norme geotecniche vigenti.</w:t>
      </w:r>
    </w:p>
    <w:p w:rsidR="00F252A3" w:rsidRPr="00484DB6" w:rsidRDefault="00F252A3" w:rsidP="00F252A3">
      <w:pPr>
        <w:ind w:firstLine="284"/>
        <w:rPr>
          <w:rFonts w:cs="Arial"/>
          <w:sz w:val="20"/>
        </w:rPr>
      </w:pPr>
      <w:r w:rsidRPr="00484DB6">
        <w:rPr>
          <w:rFonts w:cs="Arial"/>
          <w:sz w:val="20"/>
        </w:rPr>
        <w:t>Le prove per la determinazione del carico limite del singolo ancoraggio devono essere spinte a valori del carico tali da portare a rottura il complesso ancoraggio-terreno.</w:t>
      </w:r>
    </w:p>
    <w:p w:rsidR="00F252A3" w:rsidRPr="00484DB6" w:rsidRDefault="00F252A3" w:rsidP="00F252A3">
      <w:pPr>
        <w:ind w:firstLine="284"/>
        <w:rPr>
          <w:rFonts w:cs="Arial"/>
          <w:sz w:val="20"/>
        </w:rPr>
      </w:pPr>
      <w:r w:rsidRPr="00484DB6">
        <w:rPr>
          <w:rFonts w:cs="Arial"/>
          <w:sz w:val="20"/>
        </w:rPr>
        <w:t>La prova di collaudo consiste in un ciclo semplice di carico e scarico, sottoponendo l’ancoraggio ad una forza pari ad 1,3 volte la prevista forza di esercizio.</w:t>
      </w:r>
    </w:p>
    <w:p w:rsidR="00F252A3" w:rsidRPr="00484DB6" w:rsidRDefault="00F252A3" w:rsidP="00F252A3">
      <w:pPr>
        <w:tabs>
          <w:tab w:val="left" w:pos="1846"/>
        </w:tabs>
        <w:ind w:firstLine="284"/>
        <w:rPr>
          <w:rFonts w:cs="Arial"/>
          <w:sz w:val="20"/>
        </w:rPr>
      </w:pPr>
      <w:r w:rsidRPr="00484DB6">
        <w:rPr>
          <w:rFonts w:cs="Arial"/>
          <w:sz w:val="20"/>
        </w:rPr>
        <w:t>La tipologia di prove da eseguire (a rottura o di collaudo) ed eventuali modifiche da apportare ai carichi di prova, dovute a quanto riscontrato durante l’esecuzione dei micropali, saranno definite in cantiere dalla Direzione dei Lavori.</w:t>
      </w:r>
    </w:p>
    <w:p w:rsidR="00F252A3" w:rsidRPr="00484DB6" w:rsidRDefault="00F252A3" w:rsidP="00F252A3">
      <w:pPr>
        <w:tabs>
          <w:tab w:val="left" w:pos="1846"/>
        </w:tabs>
        <w:ind w:firstLine="284"/>
        <w:rPr>
          <w:rFonts w:cs="Arial"/>
          <w:sz w:val="20"/>
        </w:rPr>
      </w:pPr>
    </w:p>
    <w:p w:rsidR="00F252A3" w:rsidRPr="00484DB6" w:rsidRDefault="00F252A3" w:rsidP="00F252A3">
      <w:pPr>
        <w:tabs>
          <w:tab w:val="right" w:pos="142"/>
        </w:tabs>
        <w:jc w:val="center"/>
        <w:rPr>
          <w:rFonts w:cs="Arial"/>
          <w:sz w:val="20"/>
        </w:rPr>
      </w:pPr>
      <w:r w:rsidRPr="00484DB6">
        <w:rPr>
          <w:rFonts w:cs="Arial"/>
          <w:b/>
          <w:sz w:val="20"/>
        </w:rPr>
        <w:t>Art. 4.4</w:t>
      </w:r>
    </w:p>
    <w:p w:rsidR="00F252A3" w:rsidRPr="00484DB6" w:rsidRDefault="00F252A3" w:rsidP="00F252A3">
      <w:pPr>
        <w:tabs>
          <w:tab w:val="right" w:pos="142"/>
        </w:tabs>
        <w:jc w:val="center"/>
        <w:rPr>
          <w:rFonts w:cs="Arial"/>
          <w:b/>
          <w:sz w:val="20"/>
        </w:rPr>
      </w:pPr>
      <w:r w:rsidRPr="00484DB6">
        <w:rPr>
          <w:rFonts w:cs="Arial"/>
          <w:b/>
          <w:sz w:val="20"/>
        </w:rPr>
        <w:t>OPERE E STRUTTURE DI CALCESTRUZZO</w:t>
      </w:r>
    </w:p>
    <w:p w:rsidR="00F252A3" w:rsidRPr="00484DB6" w:rsidRDefault="00F252A3" w:rsidP="00F252A3">
      <w:pPr>
        <w:tabs>
          <w:tab w:val="right" w:pos="142"/>
        </w:tabs>
        <w:rPr>
          <w:rFonts w:cs="Arial"/>
          <w:b/>
          <w:sz w:val="20"/>
        </w:rPr>
      </w:pPr>
    </w:p>
    <w:p w:rsidR="00F252A3" w:rsidRPr="00484DB6" w:rsidRDefault="00F252A3" w:rsidP="00F252A3">
      <w:pPr>
        <w:rPr>
          <w:rFonts w:cs="Arial"/>
          <w:sz w:val="20"/>
        </w:rPr>
      </w:pPr>
      <w:r w:rsidRPr="00484DB6">
        <w:rPr>
          <w:rFonts w:cs="Arial"/>
          <w:b/>
          <w:sz w:val="20"/>
        </w:rPr>
        <w:t>4.4.1) Generalità</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Impasti di Calcestruzzo</w:t>
      </w:r>
    </w:p>
    <w:p w:rsidR="00F252A3" w:rsidRPr="00484DB6" w:rsidRDefault="00F252A3" w:rsidP="00F252A3">
      <w:pPr>
        <w:ind w:firstLine="282"/>
        <w:rPr>
          <w:rFonts w:cs="Arial"/>
          <w:sz w:val="20"/>
        </w:rPr>
      </w:pPr>
      <w:r w:rsidRPr="00484DB6">
        <w:rPr>
          <w:rFonts w:cs="Arial"/>
          <w:sz w:val="20"/>
        </w:rPr>
        <w:t xml:space="preserve">Gli impasti di calcestruzzo dovranno essere eseguiti in conformità di quanto previsto dal D.M. 17 gennaio 2018 e dalle relative norme vigenti. </w:t>
      </w:r>
    </w:p>
    <w:p w:rsidR="00F252A3" w:rsidRPr="00484DB6" w:rsidRDefault="00F252A3" w:rsidP="00F252A3">
      <w:pPr>
        <w:ind w:firstLine="282"/>
        <w:rPr>
          <w:rFonts w:cs="Arial"/>
          <w:sz w:val="20"/>
        </w:rPr>
      </w:pPr>
      <w:r w:rsidRPr="00484DB6">
        <w:rPr>
          <w:rFonts w:cs="Arial"/>
          <w:sz w:val="20"/>
        </w:rPr>
        <w:t xml:space="preserve">La distribuzione granulometrica degli inerti, il tipo di cemento e la consistenza dell'impasto, devono </w:t>
      </w:r>
      <w:r w:rsidRPr="00484DB6">
        <w:rPr>
          <w:rFonts w:cs="Arial"/>
          <w:sz w:val="20"/>
        </w:rPr>
        <w:lastRenderedPageBreak/>
        <w:t>essere adeguati alla particolare destinazione del getto ed al procedimento di posa in opera del conglomerato.</w:t>
      </w:r>
    </w:p>
    <w:p w:rsidR="00F252A3" w:rsidRPr="00484DB6" w:rsidRDefault="00F252A3" w:rsidP="00F252A3">
      <w:pPr>
        <w:ind w:firstLine="282"/>
        <w:rPr>
          <w:rFonts w:cs="Arial"/>
          <w:sz w:val="20"/>
        </w:rPr>
      </w:pPr>
      <w:r w:rsidRPr="00484DB6">
        <w:rPr>
          <w:rFonts w:cs="Arial"/>
          <w:sz w:val="20"/>
        </w:rPr>
        <w:t>Il quantitativo d'acqua deve essere il minimo necessario a consentire una buona lavorabilità del conglomerato tenendo conto anche dell'acqua contenuta negli inerti.</w:t>
      </w:r>
    </w:p>
    <w:p w:rsidR="00F252A3" w:rsidRPr="00484DB6" w:rsidRDefault="00F252A3" w:rsidP="00F252A3">
      <w:pPr>
        <w:ind w:firstLine="282"/>
        <w:rPr>
          <w:rFonts w:cs="Arial"/>
          <w:sz w:val="20"/>
        </w:rPr>
      </w:pPr>
      <w:r w:rsidRPr="00484DB6">
        <w:rPr>
          <w:rFonts w:cs="Arial"/>
          <w:sz w:val="20"/>
        </w:rPr>
        <w:t>Partendo dagli elementi già fissati il rapporto acqua-cemento, e quindi il dosaggio del cemento, dovrà essere scelto in relazione alla resistenza richiesta per il conglomerato.</w:t>
      </w:r>
    </w:p>
    <w:p w:rsidR="00F252A3" w:rsidRPr="00484DB6" w:rsidRDefault="00F252A3" w:rsidP="00F252A3">
      <w:pPr>
        <w:ind w:firstLine="282"/>
        <w:rPr>
          <w:rFonts w:cs="Arial"/>
          <w:sz w:val="20"/>
        </w:rPr>
      </w:pPr>
      <w:r w:rsidRPr="00484DB6">
        <w:rPr>
          <w:rFonts w:cs="Arial"/>
          <w:sz w:val="20"/>
        </w:rPr>
        <w:t>L'impiego degli additivi dovrà essere subordinato all'accertamento della assenza di ogni pericolo di aggressività e devono essere conformi alla norma europea armonizzata UNI EN 934-2.</w:t>
      </w:r>
    </w:p>
    <w:p w:rsidR="00F252A3" w:rsidRPr="00484DB6" w:rsidRDefault="00F252A3" w:rsidP="00F252A3">
      <w:pPr>
        <w:ind w:firstLine="282"/>
        <w:rPr>
          <w:rFonts w:cs="Arial"/>
          <w:sz w:val="20"/>
        </w:rPr>
      </w:pPr>
      <w:r w:rsidRPr="00484DB6">
        <w:rPr>
          <w:rFonts w:cs="Arial"/>
          <w:sz w:val="20"/>
        </w:rPr>
        <w:t xml:space="preserve">L'acqua di impasto, ivi compresa l'acqua di riciclo, dovrà essere conforme alla norma UNI EN 1008. </w:t>
      </w:r>
    </w:p>
    <w:p w:rsidR="00F252A3" w:rsidRPr="00484DB6" w:rsidRDefault="00F252A3" w:rsidP="00F252A3">
      <w:pPr>
        <w:ind w:firstLine="282"/>
        <w:rPr>
          <w:rFonts w:cs="Arial"/>
          <w:sz w:val="20"/>
        </w:rPr>
      </w:pPr>
      <w:r w:rsidRPr="00484DB6">
        <w:rPr>
          <w:rFonts w:cs="Arial"/>
          <w:sz w:val="20"/>
        </w:rPr>
        <w:t>L'impasto deve essere fatto con mezzi idonei ed il dosaggio dei componenti eseguito con modalità atte a garantire la costanza del proporzionamento previsto in sede di progetto.</w:t>
      </w:r>
    </w:p>
    <w:p w:rsidR="00F252A3" w:rsidRPr="00484DB6" w:rsidRDefault="00F252A3" w:rsidP="00F252A3">
      <w:pPr>
        <w:ind w:firstLine="282"/>
        <w:rPr>
          <w:rFonts w:cs="Arial"/>
          <w:sz w:val="20"/>
        </w:rPr>
      </w:pPr>
      <w:r w:rsidRPr="00484DB6">
        <w:rPr>
          <w:rFonts w:cs="Arial"/>
          <w:sz w:val="20"/>
        </w:rPr>
        <w:t>Nei calcestruzzi è ammesso l'impiego di aggiunte, in particolare di ceneri volanti, loppe granulate d'altoforno e fumi di silice, purché non ne vengano modificate negativamente le caratteristiche prestazionali.</w:t>
      </w:r>
    </w:p>
    <w:p w:rsidR="00F252A3" w:rsidRPr="00484DB6" w:rsidRDefault="00F252A3" w:rsidP="00F252A3">
      <w:pPr>
        <w:ind w:firstLine="282"/>
        <w:rPr>
          <w:rFonts w:cs="Arial"/>
          <w:sz w:val="20"/>
        </w:rPr>
      </w:pPr>
      <w:r w:rsidRPr="00484DB6">
        <w:rPr>
          <w:rFonts w:cs="Arial"/>
          <w:sz w:val="20"/>
        </w:rPr>
        <w:t>Le ceneri volanti devono soddisfare i requisiti della norma europea armonizzata UNI EN 450-1. Per quanto riguarda l'impiego si potrà fare utile riferimento ai criteri stabiliti dalle norme UNI EN 206 ed UNI 11104.</w:t>
      </w:r>
    </w:p>
    <w:p w:rsidR="00F252A3" w:rsidRPr="00484DB6" w:rsidRDefault="00F252A3" w:rsidP="00F252A3">
      <w:pPr>
        <w:ind w:firstLine="282"/>
        <w:rPr>
          <w:rFonts w:cs="Arial"/>
          <w:sz w:val="20"/>
        </w:rPr>
      </w:pPr>
      <w:r w:rsidRPr="00484DB6">
        <w:rPr>
          <w:rFonts w:cs="Arial"/>
          <w:sz w:val="20"/>
        </w:rPr>
        <w:t>I fumi di silice devono soddisfare i requisiti della norma europea armonizzata UNI EN 13263-1.</w:t>
      </w:r>
    </w:p>
    <w:p w:rsidR="00F252A3" w:rsidRPr="00484DB6" w:rsidRDefault="00F252A3" w:rsidP="00F252A3">
      <w:pPr>
        <w:rPr>
          <w:rFonts w:cs="Arial"/>
          <w:sz w:val="20"/>
        </w:rPr>
      </w:pPr>
      <w:r w:rsidRPr="00484DB6">
        <w:rPr>
          <w:rFonts w:cs="Arial"/>
          <w:sz w:val="20"/>
        </w:rPr>
        <w:t>Per i calcestruzzi preconfezionati si fa riferimento alla norma UNI EN 206.</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Controlli sul Calcestruzzo</w:t>
      </w:r>
    </w:p>
    <w:p w:rsidR="00F252A3" w:rsidRPr="00484DB6" w:rsidRDefault="00F252A3" w:rsidP="00F252A3">
      <w:pPr>
        <w:ind w:right="1" w:firstLine="283"/>
        <w:rPr>
          <w:rFonts w:cs="Arial"/>
          <w:sz w:val="20"/>
        </w:rPr>
      </w:pPr>
      <w:r w:rsidRPr="00484DB6">
        <w:rPr>
          <w:rFonts w:cs="Arial"/>
          <w:sz w:val="20"/>
        </w:rPr>
        <w:t>Per i controlli sul calcestruzzo ci si atterrà a quanto previsto dal D.M. 17 gennaio 2018.</w:t>
      </w:r>
    </w:p>
    <w:p w:rsidR="00F252A3" w:rsidRPr="00484DB6" w:rsidRDefault="00F252A3" w:rsidP="00F252A3">
      <w:pPr>
        <w:ind w:right="1" w:firstLine="283"/>
        <w:rPr>
          <w:rFonts w:cs="Arial"/>
          <w:sz w:val="20"/>
        </w:rPr>
      </w:pPr>
      <w:r w:rsidRPr="00484DB6">
        <w:rPr>
          <w:rFonts w:cs="Arial"/>
          <w:sz w:val="20"/>
        </w:rPr>
        <w:t>Il calcestruzzo viene individuato tramite la resistenza caratteristica a compressione secondo quanto specificato nel suddetto D.M.</w:t>
      </w:r>
    </w:p>
    <w:p w:rsidR="00F252A3" w:rsidRPr="00484DB6" w:rsidRDefault="00F252A3" w:rsidP="00F252A3">
      <w:pPr>
        <w:ind w:right="1" w:firstLine="283"/>
        <w:rPr>
          <w:rFonts w:cs="Arial"/>
          <w:sz w:val="20"/>
        </w:rPr>
      </w:pPr>
      <w:r w:rsidRPr="00484DB6">
        <w:rPr>
          <w:rFonts w:cs="Arial"/>
          <w:sz w:val="20"/>
        </w:rPr>
        <w:t>Il calcestruzzo deve essere prodotto in regime di controllo di qualità, con lo scopo di garantire che rispetti le prescrizioni definite in sede di progetto.</w:t>
      </w:r>
    </w:p>
    <w:p w:rsidR="00F252A3" w:rsidRPr="00484DB6" w:rsidRDefault="00F252A3" w:rsidP="00F252A3">
      <w:pPr>
        <w:ind w:right="1" w:firstLine="283"/>
        <w:rPr>
          <w:rFonts w:cs="Arial"/>
          <w:sz w:val="20"/>
        </w:rPr>
      </w:pPr>
      <w:r w:rsidRPr="00484DB6">
        <w:rPr>
          <w:rFonts w:cs="Arial"/>
          <w:sz w:val="20"/>
        </w:rPr>
        <w:t>Il controllo di qualità del calcestruzzo si articola nelle seguenti fasi:</w:t>
      </w:r>
    </w:p>
    <w:p w:rsidR="00F252A3" w:rsidRPr="00484DB6" w:rsidRDefault="00F252A3" w:rsidP="00F252A3">
      <w:pPr>
        <w:ind w:right="1" w:firstLine="283"/>
        <w:rPr>
          <w:rFonts w:cs="Arial"/>
          <w:sz w:val="20"/>
        </w:rPr>
      </w:pPr>
      <w:r w:rsidRPr="00484DB6">
        <w:rPr>
          <w:rFonts w:cs="Arial"/>
          <w:sz w:val="20"/>
        </w:rPr>
        <w:t xml:space="preserve">- Valutazione preliminare della resistenza; </w:t>
      </w:r>
    </w:p>
    <w:p w:rsidR="00F252A3" w:rsidRPr="00484DB6" w:rsidRDefault="00F252A3" w:rsidP="00F252A3">
      <w:pPr>
        <w:ind w:right="1" w:firstLine="283"/>
        <w:rPr>
          <w:rFonts w:cs="Arial"/>
          <w:sz w:val="20"/>
        </w:rPr>
      </w:pPr>
      <w:r w:rsidRPr="00484DB6">
        <w:rPr>
          <w:rFonts w:cs="Arial"/>
          <w:sz w:val="20"/>
        </w:rPr>
        <w:t>- Controllo di produzione</w:t>
      </w:r>
    </w:p>
    <w:p w:rsidR="00F252A3" w:rsidRPr="00484DB6" w:rsidRDefault="00F252A3" w:rsidP="00F252A3">
      <w:pPr>
        <w:ind w:right="1" w:firstLine="283"/>
        <w:rPr>
          <w:rFonts w:cs="Arial"/>
          <w:sz w:val="20"/>
        </w:rPr>
      </w:pPr>
      <w:r w:rsidRPr="00484DB6">
        <w:rPr>
          <w:rFonts w:cs="Arial"/>
          <w:sz w:val="20"/>
        </w:rPr>
        <w:t>- Controllo di accettazione</w:t>
      </w:r>
    </w:p>
    <w:p w:rsidR="00F252A3" w:rsidRPr="00484DB6" w:rsidRDefault="00F252A3" w:rsidP="00F252A3">
      <w:pPr>
        <w:ind w:right="1" w:firstLine="283"/>
        <w:rPr>
          <w:rFonts w:cs="Arial"/>
          <w:sz w:val="20"/>
        </w:rPr>
      </w:pPr>
      <w:r w:rsidRPr="00484DB6">
        <w:rPr>
          <w:rFonts w:cs="Arial"/>
          <w:sz w:val="20"/>
        </w:rPr>
        <w:t>- Prove complementari</w:t>
      </w:r>
    </w:p>
    <w:p w:rsidR="00F252A3" w:rsidRPr="00484DB6" w:rsidRDefault="00F252A3" w:rsidP="00F252A3">
      <w:pPr>
        <w:ind w:right="1" w:firstLine="283"/>
        <w:rPr>
          <w:rFonts w:cs="Arial"/>
          <w:sz w:val="20"/>
        </w:rPr>
      </w:pPr>
      <w:r w:rsidRPr="00484DB6">
        <w:rPr>
          <w:rFonts w:cs="Arial"/>
          <w:sz w:val="20"/>
        </w:rPr>
        <w:t>Le prove di accettazione e le eventuali prove complementari, compresi i carotaggi, sono eseguite e certificate dai laboratori di cui all'art. 59 del d.P.R. n. 380/2001.</w:t>
      </w:r>
    </w:p>
    <w:p w:rsidR="00F252A3" w:rsidRPr="00484DB6" w:rsidRDefault="00F252A3" w:rsidP="00F252A3">
      <w:pPr>
        <w:ind w:right="1" w:firstLine="283"/>
        <w:rPr>
          <w:rFonts w:cs="Arial"/>
          <w:sz w:val="20"/>
        </w:rPr>
      </w:pPr>
      <w:r w:rsidRPr="00484DB6">
        <w:rPr>
          <w:rFonts w:cs="Arial"/>
          <w:sz w:val="20"/>
        </w:rPr>
        <w:t>Il costruttore resta comunque responsabile della qualità del calcestruzzo posto in opera, che sarà controllata dal Direttore dei Lavori, secondo le procedure di cui al punto 11.2.5 del D.M. 17 gennaio 2018.</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Resistenza al Fuoco</w:t>
      </w:r>
    </w:p>
    <w:p w:rsidR="00F252A3" w:rsidRPr="00484DB6" w:rsidRDefault="00F252A3" w:rsidP="00F252A3">
      <w:pPr>
        <w:ind w:firstLine="284"/>
        <w:rPr>
          <w:rFonts w:cs="Arial"/>
          <w:sz w:val="20"/>
        </w:rPr>
      </w:pPr>
      <w:r w:rsidRPr="00484DB6">
        <w:rPr>
          <w:rFonts w:cs="Arial"/>
          <w:sz w:val="20"/>
        </w:rPr>
        <w:t>Le verifiche di resistenza al fuoco potranno eseguirsi con riferimento a UNI EN 1992-1-2.</w:t>
      </w:r>
    </w:p>
    <w:p w:rsidR="00F252A3" w:rsidRPr="00484DB6" w:rsidRDefault="00F252A3" w:rsidP="00F252A3">
      <w:pPr>
        <w:ind w:firstLine="284"/>
        <w:rPr>
          <w:rFonts w:cs="Arial"/>
          <w:sz w:val="20"/>
        </w:rPr>
      </w:pPr>
    </w:p>
    <w:p w:rsidR="00F252A3" w:rsidRPr="00484DB6" w:rsidRDefault="00F252A3" w:rsidP="00F252A3">
      <w:pPr>
        <w:rPr>
          <w:rFonts w:cs="Arial"/>
        </w:rPr>
      </w:pPr>
      <w:r w:rsidRPr="00484DB6">
        <w:rPr>
          <w:rFonts w:cs="Arial"/>
          <w:b/>
          <w:sz w:val="20"/>
        </w:rPr>
        <w:t>4.4.2) Norme per il cemento armato normale</w:t>
      </w:r>
    </w:p>
    <w:p w:rsidR="00F252A3" w:rsidRPr="00484DB6" w:rsidRDefault="00F252A3" w:rsidP="00F252A3">
      <w:pPr>
        <w:rPr>
          <w:rFonts w:cs="Arial"/>
          <w:sz w:val="20"/>
        </w:rPr>
      </w:pPr>
    </w:p>
    <w:p w:rsidR="00F252A3" w:rsidRPr="00484DB6" w:rsidRDefault="00F252A3" w:rsidP="00F252A3">
      <w:pPr>
        <w:ind w:right="1" w:firstLine="283"/>
        <w:rPr>
          <w:rFonts w:cs="Arial"/>
          <w:sz w:val="20"/>
        </w:rPr>
      </w:pPr>
      <w:r w:rsidRPr="00484DB6">
        <w:rPr>
          <w:rFonts w:cs="Arial"/>
          <w:sz w:val="20"/>
        </w:rPr>
        <w:t xml:space="preserve">Nella esecuzione delle opere di cemento armato normale l'Appaltatore dovrà attenersi a quanto contenuto nel d.P.R. 380/2001 e </w:t>
      </w:r>
      <w:proofErr w:type="spellStart"/>
      <w:r w:rsidRPr="00484DB6">
        <w:rPr>
          <w:rFonts w:cs="Arial"/>
          <w:sz w:val="20"/>
        </w:rPr>
        <w:t>s.m.i.</w:t>
      </w:r>
      <w:proofErr w:type="spellEnd"/>
      <w:r w:rsidRPr="00484DB6">
        <w:rPr>
          <w:rFonts w:cs="Arial"/>
          <w:sz w:val="20"/>
        </w:rPr>
        <w:t>, nelle norme tecniche del D.M. 17 gennaio 2018 e nella relativa normativa vigente.</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Armatura delle travi</w:t>
      </w:r>
    </w:p>
    <w:p w:rsidR="00F252A3" w:rsidRPr="00484DB6" w:rsidRDefault="00F252A3" w:rsidP="00F252A3">
      <w:pPr>
        <w:ind w:firstLine="284"/>
        <w:rPr>
          <w:rFonts w:cs="Arial"/>
          <w:sz w:val="20"/>
        </w:rPr>
      </w:pPr>
      <w:r w:rsidRPr="00484DB6">
        <w:rPr>
          <w:rFonts w:cs="Arial"/>
          <w:sz w:val="20"/>
        </w:rPr>
        <w:t>Negli appoggi di estremità all'intradosso deve essere disposta un'armatura efficacemente ancorata, calcolata coerentemente con il modello a traliccio adottato per il taglio e quindi applicando la regola della traslazione della risultante delle trazioni dovute al momento flettente, in funzione dell’angolo di inclinazione assunto per le bielle compresse di calcestruzzo.</w:t>
      </w:r>
    </w:p>
    <w:p w:rsidR="00F252A3" w:rsidRPr="00484DB6" w:rsidRDefault="00F252A3" w:rsidP="00F252A3">
      <w:pPr>
        <w:ind w:firstLine="284"/>
        <w:rPr>
          <w:rFonts w:cs="Arial"/>
          <w:sz w:val="20"/>
        </w:rPr>
      </w:pPr>
      <w:r w:rsidRPr="00484DB6">
        <w:rPr>
          <w:rFonts w:cs="Arial"/>
          <w:sz w:val="20"/>
        </w:rPr>
        <w:t>Le travi devono prevedere armatura trasversale costituita da staffe con sezione complessiva non inferiore ad Ast = 1,5 b mm</w:t>
      </w:r>
      <w:r w:rsidRPr="00484DB6">
        <w:rPr>
          <w:rFonts w:cs="Arial"/>
          <w:sz w:val="20"/>
          <w:vertAlign w:val="superscript"/>
        </w:rPr>
        <w:t>2</w:t>
      </w:r>
      <w:r w:rsidRPr="00484DB6">
        <w:rPr>
          <w:rFonts w:cs="Arial"/>
          <w:sz w:val="20"/>
        </w:rPr>
        <w:t>/m essendo b lo spessore minimo dell’anima in millimetri, con un minimo di tre staffe al metro e comunque passo non superiore a 0,8 volte l’altezza utile della sezione.</w:t>
      </w:r>
    </w:p>
    <w:p w:rsidR="00F252A3" w:rsidRPr="00484DB6" w:rsidRDefault="00F252A3" w:rsidP="00F252A3">
      <w:pPr>
        <w:ind w:firstLine="284"/>
        <w:rPr>
          <w:rFonts w:cs="Arial"/>
          <w:sz w:val="20"/>
        </w:rPr>
      </w:pPr>
      <w:r w:rsidRPr="00484DB6">
        <w:rPr>
          <w:rFonts w:cs="Arial"/>
          <w:sz w:val="20"/>
        </w:rPr>
        <w:t>In ogni caso, almeno il 50% dell'armatura necessaria per il taglio deve essere costituita da staffe.</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Armatura dei pilastri</w:t>
      </w:r>
    </w:p>
    <w:p w:rsidR="00F252A3" w:rsidRPr="00484DB6" w:rsidRDefault="00F252A3" w:rsidP="00F252A3">
      <w:pPr>
        <w:ind w:firstLine="284"/>
        <w:rPr>
          <w:rFonts w:cs="Arial"/>
          <w:sz w:val="20"/>
        </w:rPr>
      </w:pPr>
      <w:r w:rsidRPr="00484DB6">
        <w:rPr>
          <w:rFonts w:cs="Arial"/>
          <w:sz w:val="20"/>
        </w:rPr>
        <w:t>Nel caso di elementi sottoposti a prevalente sforzo normale, le barre parallele all'asse devono avere diametro maggiore od uguale a 12 mm e non potranno avere interassi maggiori di 300 mm.</w:t>
      </w:r>
    </w:p>
    <w:p w:rsidR="00F252A3" w:rsidRPr="00484DB6" w:rsidRDefault="00F252A3" w:rsidP="00F252A3">
      <w:pPr>
        <w:ind w:firstLine="284"/>
        <w:rPr>
          <w:rFonts w:cs="Arial"/>
          <w:sz w:val="20"/>
        </w:rPr>
      </w:pPr>
      <w:r w:rsidRPr="00484DB6">
        <w:rPr>
          <w:rFonts w:cs="Arial"/>
          <w:sz w:val="20"/>
        </w:rPr>
        <w:lastRenderedPageBreak/>
        <w:t xml:space="preserve">Le armature trasversali devono essere poste ad interasse non maggiore di 12 volte il diametro minimo delle barre impiegate per l'armatura longitudinale, con un massimo di 250 mm. Il diametro delle staffe non deve essere minore di 6 mm e di ¼ del diametro massimo delle barre longitudinali. </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Copriferro e interferro</w:t>
      </w:r>
    </w:p>
    <w:p w:rsidR="00F252A3" w:rsidRPr="00484DB6" w:rsidRDefault="00F252A3" w:rsidP="00F252A3">
      <w:pPr>
        <w:ind w:firstLine="284"/>
        <w:rPr>
          <w:rFonts w:cs="Arial"/>
          <w:sz w:val="20"/>
        </w:rPr>
      </w:pPr>
      <w:r w:rsidRPr="00484DB6">
        <w:rPr>
          <w:rFonts w:cs="Arial"/>
          <w:sz w:val="20"/>
        </w:rPr>
        <w:t xml:space="preserve">L'armatura resistente deve essere protetta da un adeguato ricoprimento di calcestruzzo. </w:t>
      </w:r>
    </w:p>
    <w:p w:rsidR="00F252A3" w:rsidRPr="00484DB6" w:rsidRDefault="00F252A3" w:rsidP="00F252A3">
      <w:pPr>
        <w:ind w:firstLine="284"/>
        <w:rPr>
          <w:rFonts w:cs="Arial"/>
          <w:sz w:val="20"/>
        </w:rPr>
      </w:pPr>
      <w:r w:rsidRPr="00484DB6">
        <w:rPr>
          <w:rFonts w:cs="Arial"/>
          <w:sz w:val="20"/>
        </w:rPr>
        <w:t>Al fine della protezione delle armature dalla corrosione, lo strato di ricoprimento di calcestruzzo (copriferro) deve essere dimensionato in funzione dell'aggressività dell'ambiente e della sensibilità delle armature alla corrosione, tenendo anche conto delle tolleranze di posa delle armature.</w:t>
      </w:r>
    </w:p>
    <w:p w:rsidR="00F252A3" w:rsidRPr="00484DB6" w:rsidRDefault="00F252A3" w:rsidP="00F252A3">
      <w:pPr>
        <w:ind w:firstLine="284"/>
        <w:rPr>
          <w:rFonts w:cs="Arial"/>
          <w:sz w:val="20"/>
        </w:rPr>
      </w:pPr>
      <w:r w:rsidRPr="00484DB6">
        <w:rPr>
          <w:rFonts w:cs="Arial"/>
          <w:sz w:val="20"/>
        </w:rPr>
        <w:t>Per consentire un omogeneo getto del calcestruzzo, il copriferro e l'interferro delle armature devono essere rapportati alla dimensione massima degli inerti impiegati.</w:t>
      </w:r>
    </w:p>
    <w:p w:rsidR="00F252A3" w:rsidRPr="00484DB6" w:rsidRDefault="00F252A3" w:rsidP="00F252A3">
      <w:pPr>
        <w:ind w:firstLine="284"/>
        <w:rPr>
          <w:rFonts w:cs="Arial"/>
          <w:sz w:val="20"/>
        </w:rPr>
      </w:pPr>
      <w:r w:rsidRPr="00484DB6">
        <w:rPr>
          <w:rFonts w:cs="Arial"/>
          <w:sz w:val="20"/>
        </w:rPr>
        <w:t>Il copriferro e l'interferro delle armature devono essere dimensionati anche con riferimento al necessario sviluppo delle tensioni di aderenza con il calcestruzzo.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Ancoraggio delle barre e loro giunzioni</w:t>
      </w:r>
    </w:p>
    <w:p w:rsidR="00F252A3" w:rsidRPr="00484DB6" w:rsidRDefault="00F252A3" w:rsidP="00F252A3">
      <w:pPr>
        <w:ind w:firstLine="284"/>
        <w:rPr>
          <w:rFonts w:cs="Arial"/>
          <w:sz w:val="20"/>
        </w:rPr>
      </w:pPr>
      <w:r w:rsidRPr="00484DB6">
        <w:rPr>
          <w:rFonts w:cs="Arial"/>
          <w:sz w:val="20"/>
        </w:rPr>
        <w:t>Le armature longitudinali devono essere interrotte ovvero sovrapposte preferibilmente nelle zone compresse o di minore sollecitazione.</w:t>
      </w:r>
    </w:p>
    <w:p w:rsidR="00F252A3" w:rsidRPr="00484DB6" w:rsidRDefault="00F252A3" w:rsidP="00F252A3">
      <w:pPr>
        <w:ind w:firstLine="284"/>
        <w:rPr>
          <w:rFonts w:cs="Arial"/>
          <w:sz w:val="20"/>
        </w:rPr>
      </w:pPr>
      <w:r w:rsidRPr="00484DB6">
        <w:rPr>
          <w:rFonts w:cs="Arial"/>
          <w:sz w:val="20"/>
        </w:rPr>
        <w:t>La continuità fra le barre può effettuarsi mediante:</w:t>
      </w:r>
    </w:p>
    <w:p w:rsidR="00F252A3" w:rsidRPr="00484DB6" w:rsidRDefault="00F252A3" w:rsidP="00F252A3">
      <w:pPr>
        <w:ind w:left="426" w:hanging="142"/>
        <w:rPr>
          <w:rFonts w:cs="Arial"/>
          <w:sz w:val="20"/>
        </w:rPr>
      </w:pPr>
      <w:r w:rsidRPr="00484DB6">
        <w:rPr>
          <w:rFonts w:cs="Arial"/>
          <w:sz w:val="20"/>
        </w:rPr>
        <w:t>- sovrapposizione, calcolata in modo da assicurare l'ancoraggio di ciascuna barra. In ogni caso la lunghezza di sovrapposizione nel tratto rettilineo deve essere non minore di 20 volte il diametro della barra. La distanza mutua (interferro) nella sovrapposizione non deve superare 4 volte il diametro;</w:t>
      </w:r>
    </w:p>
    <w:p w:rsidR="00F252A3" w:rsidRPr="00484DB6" w:rsidRDefault="00F252A3" w:rsidP="00F252A3">
      <w:pPr>
        <w:ind w:left="426" w:hanging="142"/>
        <w:rPr>
          <w:rFonts w:cs="Arial"/>
          <w:sz w:val="20"/>
        </w:rPr>
      </w:pPr>
      <w:r w:rsidRPr="00484DB6">
        <w:rPr>
          <w:rFonts w:cs="Arial"/>
          <w:sz w:val="20"/>
        </w:rPr>
        <w:t>- saldature, eseguite in conformità alle norme in vigore sulle saldature. Devono essere accertate la saldabilità degli acciai che vengono impiegati, nonché la compatibilità fra metallo e metallo di apporto nelle posizioni o condizioni operative previste nel progetto esecutivo;</w:t>
      </w:r>
    </w:p>
    <w:p w:rsidR="00F252A3" w:rsidRPr="00484DB6" w:rsidRDefault="00F252A3" w:rsidP="00F252A3">
      <w:pPr>
        <w:ind w:left="426" w:hanging="142"/>
        <w:rPr>
          <w:rFonts w:cs="Arial"/>
          <w:sz w:val="20"/>
        </w:rPr>
      </w:pPr>
      <w:r w:rsidRPr="00484DB6">
        <w:rPr>
          <w:rFonts w:cs="Arial"/>
          <w:sz w:val="20"/>
        </w:rPr>
        <w:t>- giunzioni meccaniche per barre di armatura. Tali giunzioni sono qualificate secondo quanto indicato al punto 11.3.2.9 del D.M. 17 gennaio 2018.</w:t>
      </w:r>
    </w:p>
    <w:p w:rsidR="00F252A3" w:rsidRPr="00484DB6" w:rsidRDefault="00F252A3" w:rsidP="00F252A3">
      <w:pPr>
        <w:ind w:firstLine="284"/>
        <w:rPr>
          <w:rFonts w:cs="Arial"/>
          <w:sz w:val="20"/>
        </w:rPr>
      </w:pPr>
      <w:r w:rsidRPr="00484DB6">
        <w:rPr>
          <w:rFonts w:cs="Arial"/>
          <w:sz w:val="20"/>
        </w:rPr>
        <w:t>Per barre di diametro Ø&gt;32 mm occorrerà adottare particolari cautele negli ancoraggi e nelle sovrapposizioni.</w:t>
      </w:r>
    </w:p>
    <w:p w:rsidR="00F252A3" w:rsidRPr="00484DB6" w:rsidRDefault="00F252A3" w:rsidP="00F252A3">
      <w:pPr>
        <w:ind w:firstLine="284"/>
        <w:rPr>
          <w:rFonts w:cs="Arial"/>
          <w:sz w:val="20"/>
        </w:rPr>
      </w:pPr>
      <w:r w:rsidRPr="00484DB6">
        <w:rPr>
          <w:rFonts w:cs="Arial"/>
          <w:sz w:val="20"/>
        </w:rPr>
        <w:t>Nell'assemblaggio o unione di due barre o elementi di armatura di acciaio per calcestruzzo armato possono essere usate giunzioni meccaniche mediante manicotti che garantiscano la continuità. Le giunzioni meccaniche possono essere progettate con riferimento a normative o documenti di comprovata validità.</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Tutti i progetti devono contenere la descrizione delle specifiche di esecuzione in funzione della particolarità dell'opera, del clima, della tecnologia costruttiva.</w:t>
      </w:r>
    </w:p>
    <w:p w:rsidR="00F252A3" w:rsidRPr="00484DB6" w:rsidRDefault="00F252A3" w:rsidP="00F252A3">
      <w:pPr>
        <w:ind w:firstLine="284"/>
        <w:rPr>
          <w:rFonts w:cs="Arial"/>
          <w:sz w:val="20"/>
        </w:rPr>
      </w:pPr>
      <w:r w:rsidRPr="00484DB6">
        <w:rPr>
          <w:rFonts w:cs="Arial"/>
          <w:sz w:val="20"/>
        </w:rPr>
        <w:t>In particolare il documento progettuale deve contenere la descrizione dettagliata delle cautele da adottare per gli impasti, per la maturazione dei getti, per il disarmo e per la messa in opera degli elementi strutturali. Analoga attenzione dovrà essere posta nella progettazione delle armature per quanto riguarda: la definizione delle posizioni, le tolleranze di esecuzione e le modalità di piegatura. Si potrà a tal fine fare utile riferimento alla norma UNI EN 13670 "Esecuzione di strutture di calcestruzzo".</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4.4.3) Responsabilità per le opere in calcestruzzo armato e calcestruzzo armato precompresso</w:t>
      </w:r>
    </w:p>
    <w:p w:rsidR="00F252A3" w:rsidRPr="00484DB6" w:rsidRDefault="00F252A3" w:rsidP="00F252A3">
      <w:pPr>
        <w:rPr>
          <w:rFonts w:cs="Arial"/>
          <w:sz w:val="20"/>
        </w:rPr>
      </w:pPr>
    </w:p>
    <w:p w:rsidR="00F252A3" w:rsidRPr="00484DB6" w:rsidRDefault="00F252A3" w:rsidP="00F252A3">
      <w:pPr>
        <w:ind w:firstLine="282"/>
        <w:rPr>
          <w:rFonts w:cs="Arial"/>
          <w:sz w:val="20"/>
        </w:rPr>
      </w:pPr>
      <w:r w:rsidRPr="00484DB6">
        <w:rPr>
          <w:rFonts w:cs="Arial"/>
          <w:sz w:val="20"/>
        </w:rPr>
        <w:t xml:space="preserve">Nell'esecuzione delle opere in cemento armato normale e precompresso l'Appaltatore dovrà attenersi strettamente a tutte le disposizioni contenute nel d.P.R. 380/2001 e </w:t>
      </w:r>
      <w:proofErr w:type="spellStart"/>
      <w:r w:rsidRPr="00484DB6">
        <w:rPr>
          <w:rFonts w:cs="Arial"/>
          <w:sz w:val="20"/>
        </w:rPr>
        <w:t>s.m.i.</w:t>
      </w:r>
      <w:proofErr w:type="spellEnd"/>
      <w:r w:rsidRPr="00484DB6">
        <w:rPr>
          <w:rFonts w:cs="Arial"/>
          <w:sz w:val="20"/>
        </w:rPr>
        <w:t>, e nelle norme tecniche vigenti (UNI EN 1991-1-6).</w:t>
      </w:r>
    </w:p>
    <w:p w:rsidR="00F252A3" w:rsidRPr="00484DB6" w:rsidRDefault="00F252A3" w:rsidP="00F252A3">
      <w:pPr>
        <w:ind w:firstLine="282"/>
        <w:rPr>
          <w:rFonts w:cs="Arial"/>
          <w:sz w:val="20"/>
        </w:rPr>
      </w:pPr>
      <w:r w:rsidRPr="00484DB6">
        <w:rPr>
          <w:rFonts w:cs="Arial"/>
          <w:sz w:val="20"/>
        </w:rPr>
        <w:t xml:space="preserve">Nelle zone sismiche valgono le norme tecniche emanate in forza del d.P.R. 380/2001 e </w:t>
      </w:r>
      <w:proofErr w:type="spellStart"/>
      <w:r w:rsidRPr="00484DB6">
        <w:rPr>
          <w:rFonts w:cs="Arial"/>
          <w:sz w:val="20"/>
        </w:rPr>
        <w:t>s.m.i.</w:t>
      </w:r>
      <w:proofErr w:type="spellEnd"/>
      <w:r w:rsidRPr="00484DB6">
        <w:rPr>
          <w:rFonts w:cs="Arial"/>
          <w:sz w:val="20"/>
        </w:rPr>
        <w:t>, e del D.M. 17 gennaio 2018.</w:t>
      </w:r>
    </w:p>
    <w:p w:rsidR="00F252A3" w:rsidRPr="00484DB6" w:rsidRDefault="00F252A3" w:rsidP="00F252A3">
      <w:pPr>
        <w:ind w:firstLine="282"/>
        <w:rPr>
          <w:rFonts w:cs="Arial"/>
          <w:sz w:val="20"/>
        </w:rPr>
      </w:pPr>
      <w:r w:rsidRPr="00484DB6">
        <w:rPr>
          <w:rFonts w:cs="Arial"/>
          <w:sz w:val="20"/>
        </w:rPr>
        <w:t>Tutti i lavori di cemento armato facenti parte dell'opera appaltata, saranno eseguiti in base ai calcoli di stabilità accompagnati da disegni esecutivi e da una relazione, che dovranno essere redatti e firmati da un tecnico abilitato iscritto all'Albo, e che l'Appaltatore dovrà presentare alla Direzione dei Lavori entro il termine che gli verrà prescritto, attenendosi agli schemi e disegni facenti parte del progetto ed allegati al contratto o alle norme che gli verranno impartite, a sua richiesta, all'atto della consegna dei lavori.</w:t>
      </w:r>
    </w:p>
    <w:p w:rsidR="00F252A3" w:rsidRPr="00484DB6" w:rsidRDefault="00F252A3" w:rsidP="00F252A3">
      <w:pPr>
        <w:ind w:firstLine="282"/>
        <w:rPr>
          <w:rFonts w:cs="Arial"/>
          <w:sz w:val="20"/>
        </w:rPr>
      </w:pPr>
      <w:r w:rsidRPr="00484DB6">
        <w:rPr>
          <w:rFonts w:cs="Arial"/>
          <w:sz w:val="20"/>
        </w:rPr>
        <w:t>L'esame e verifica da parte della Direzione dei Lavori dei progetti delle varie strutture in cemento armato non esonera in alcun modo l'Appaltatore e il progettista delle strutture dalle responsabilità loro derivanti per legge e per le precise pattuizioni del contratto.</w:t>
      </w:r>
    </w:p>
    <w:p w:rsidR="00F252A3" w:rsidRPr="00484DB6" w:rsidRDefault="00F252A3" w:rsidP="00F252A3">
      <w:pPr>
        <w:ind w:firstLine="282"/>
        <w:rPr>
          <w:rFonts w:cs="Arial"/>
          <w:sz w:val="20"/>
        </w:rPr>
      </w:pPr>
    </w:p>
    <w:p w:rsidR="00F252A3" w:rsidRPr="00484DB6" w:rsidRDefault="00F252A3" w:rsidP="00F252A3">
      <w:pPr>
        <w:ind w:firstLine="282"/>
        <w:rPr>
          <w:rFonts w:cs="Arial"/>
          <w:sz w:val="20"/>
        </w:rPr>
      </w:pPr>
      <w:r w:rsidRPr="00484DB6">
        <w:rPr>
          <w:rFonts w:cs="Arial"/>
          <w:sz w:val="20"/>
        </w:rPr>
        <w:lastRenderedPageBreak/>
        <w:t>Tutti i prodotti e/o materiali di cui al presente articolo, qualora possano essere dotati di marcatura CE secondo la normativa tecnica vigente, dovranno essere muniti di tale marchio.</w:t>
      </w:r>
    </w:p>
    <w:p w:rsidR="00F252A3" w:rsidRPr="00484DB6" w:rsidRDefault="00F252A3" w:rsidP="00F252A3">
      <w:pPr>
        <w:ind w:firstLine="282"/>
        <w:rPr>
          <w:rFonts w:cs="Arial"/>
          <w:sz w:val="20"/>
        </w:rPr>
      </w:pPr>
    </w:p>
    <w:p w:rsidR="00F252A3" w:rsidRPr="00484DB6" w:rsidRDefault="00F252A3" w:rsidP="00F252A3">
      <w:pPr>
        <w:jc w:val="center"/>
        <w:rPr>
          <w:rFonts w:cs="Arial"/>
          <w:sz w:val="20"/>
        </w:rPr>
      </w:pPr>
      <w:r w:rsidRPr="00484DB6">
        <w:rPr>
          <w:rFonts w:cs="Arial"/>
          <w:b/>
          <w:sz w:val="20"/>
        </w:rPr>
        <w:t>Art. 4.5</w:t>
      </w:r>
    </w:p>
    <w:p w:rsidR="00F252A3" w:rsidRPr="00484DB6" w:rsidRDefault="00F252A3" w:rsidP="00F252A3">
      <w:pPr>
        <w:jc w:val="center"/>
        <w:rPr>
          <w:rFonts w:cs="Arial"/>
          <w:b/>
          <w:sz w:val="20"/>
        </w:rPr>
      </w:pPr>
      <w:r w:rsidRPr="00484DB6">
        <w:rPr>
          <w:rFonts w:cs="Arial"/>
          <w:b/>
          <w:sz w:val="20"/>
        </w:rPr>
        <w:t>STRUTTURE PREFABBRICATE DI CALCESTRUZZO ARMATO E PRECOMPRESSO</w:t>
      </w:r>
    </w:p>
    <w:p w:rsidR="00F252A3" w:rsidRPr="00484DB6" w:rsidRDefault="00F252A3" w:rsidP="00F252A3">
      <w:pPr>
        <w:rPr>
          <w:rFonts w:cs="Arial"/>
          <w:sz w:val="20"/>
        </w:rPr>
      </w:pPr>
    </w:p>
    <w:p w:rsidR="00F252A3" w:rsidRPr="00484DB6" w:rsidRDefault="00F252A3" w:rsidP="00F252A3">
      <w:pPr>
        <w:rPr>
          <w:rFonts w:cs="Arial"/>
        </w:rPr>
      </w:pPr>
      <w:r w:rsidRPr="00484DB6">
        <w:rPr>
          <w:rFonts w:cs="Arial"/>
          <w:b/>
          <w:sz w:val="20"/>
        </w:rPr>
        <w:t>4.5.1) Generalità</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 xml:space="preserve">Con struttura prefabbricata si intendono i componenti prodotti in stabilimenti permanenti o in impianti temporanei allestiti per uno specifico cantiere, ovvero realizzati a piè d'opera. </w:t>
      </w:r>
    </w:p>
    <w:p w:rsidR="00F252A3" w:rsidRPr="00484DB6" w:rsidRDefault="00F252A3" w:rsidP="00F252A3">
      <w:pPr>
        <w:ind w:right="1" w:firstLine="283"/>
        <w:rPr>
          <w:rFonts w:cs="Arial"/>
          <w:sz w:val="20"/>
        </w:rPr>
      </w:pPr>
      <w:r w:rsidRPr="00484DB6">
        <w:rPr>
          <w:rFonts w:cs="Arial"/>
          <w:sz w:val="20"/>
        </w:rPr>
        <w:t>La progettazione, esecuzione e collaudo delle costruzioni prefabbricate sono disciplinate dalle norme contenute dal D.M. 17 gennaio 2018. Componenti di serie devono intendersi unicamente quelli prodotti in stabilimenti permanenti, con tecnologia ripetitiva e processi industrializzati, in tipologie predefinite per campi dimensionali e tipi di armature.</w:t>
      </w:r>
    </w:p>
    <w:p w:rsidR="00F252A3" w:rsidRPr="00484DB6" w:rsidRDefault="00F252A3" w:rsidP="00F252A3">
      <w:pPr>
        <w:ind w:right="1" w:firstLine="283"/>
        <w:rPr>
          <w:rFonts w:cs="Arial"/>
          <w:sz w:val="20"/>
        </w:rPr>
      </w:pPr>
      <w:r w:rsidRPr="00484DB6">
        <w:rPr>
          <w:rFonts w:cs="Arial"/>
          <w:sz w:val="20"/>
        </w:rPr>
        <w:t>Di produzione occasionale si intendono i componenti prodotti senza il presupposto della ripetitività tipologica. Il componente deve garantire i livelli di sicurezza e prestazione sia come componente singolo, nelle fasi transitorie di sformatura, movimentazione, stoccaggio, trasporto e montaggio, sia come elemento di un più complesso organismo strutturale una volta installato in opera.</w:t>
      </w:r>
    </w:p>
    <w:p w:rsidR="00F252A3" w:rsidRPr="00484DB6" w:rsidRDefault="00F252A3" w:rsidP="00F252A3">
      <w:pPr>
        <w:ind w:right="1" w:firstLine="283"/>
        <w:rPr>
          <w:rFonts w:cs="Arial"/>
          <w:sz w:val="20"/>
        </w:rPr>
      </w:pPr>
      <w:r w:rsidRPr="00484DB6">
        <w:rPr>
          <w:rFonts w:cs="Arial"/>
          <w:sz w:val="20"/>
        </w:rPr>
        <w:t>I componenti in possesso di attestato di conformità secondo una specifica tecnica europea elaborata ai sensi del Regolamento UE n. 305/2011 (marcatura CE) ed i cui riferimenti sono pubblicati sulla Gazzetta Ufficiale dell'Unione Europea sono intesi aver con ciò assolto ogni requisito procedurale di cui al deposito ai sensi dell'art. 9 della legge 05 novembre 1971, n. 1086 e alla certificazione di idoneità di cui agli artt. 1 e 7 della legge 2 febbraio 1974, n. 64. Resta l'obbligo del deposito della documentazione tecnica presso l'ufficio regionale competente ai sensi della vigente legislazione in materia.</w:t>
      </w:r>
    </w:p>
    <w:p w:rsidR="00F252A3" w:rsidRPr="00484DB6" w:rsidRDefault="00F252A3" w:rsidP="00F252A3">
      <w:pPr>
        <w:ind w:right="1" w:firstLine="283"/>
        <w:rPr>
          <w:rFonts w:cs="Arial"/>
          <w:sz w:val="20"/>
        </w:rPr>
      </w:pPr>
      <w:r w:rsidRPr="00484DB6">
        <w:rPr>
          <w:rFonts w:cs="Arial"/>
          <w:sz w:val="20"/>
        </w:rPr>
        <w:t>Nel caso di prodotti coperti da marcatura CE, devono essere comunque rispettati, laddove applicabili, i punti 11.8.2, 11.8.3.4 e 11.8.5 del D.M. 17 gennaio 2018.</w:t>
      </w:r>
    </w:p>
    <w:p w:rsidR="00F252A3" w:rsidRPr="00484DB6" w:rsidRDefault="00F252A3" w:rsidP="00F252A3">
      <w:pPr>
        <w:ind w:right="1" w:firstLine="283"/>
        <w:rPr>
          <w:rFonts w:cs="Arial"/>
          <w:sz w:val="20"/>
        </w:rPr>
      </w:pPr>
      <w:r w:rsidRPr="00484DB6">
        <w:rPr>
          <w:rFonts w:cs="Arial"/>
          <w:sz w:val="20"/>
        </w:rPr>
        <w:t xml:space="preserve">Comunque per i controlli sui componenti prefabbricati in c.a. e </w:t>
      </w:r>
      <w:proofErr w:type="spellStart"/>
      <w:r w:rsidRPr="00484DB6">
        <w:rPr>
          <w:rFonts w:cs="Arial"/>
          <w:sz w:val="20"/>
        </w:rPr>
        <w:t>c.a.p.</w:t>
      </w:r>
      <w:proofErr w:type="spellEnd"/>
      <w:r w:rsidRPr="00484DB6">
        <w:rPr>
          <w:rFonts w:cs="Arial"/>
          <w:sz w:val="20"/>
        </w:rPr>
        <w:t xml:space="preserve"> ci si atterrà a quanto previsto nel punto 11.8 del D.M. 17 gennaio 2018. </w:t>
      </w:r>
    </w:p>
    <w:p w:rsidR="00F252A3" w:rsidRPr="00484DB6" w:rsidRDefault="00F252A3" w:rsidP="00F252A3">
      <w:pPr>
        <w:ind w:right="1" w:firstLine="283"/>
        <w:rPr>
          <w:rFonts w:cs="Arial"/>
          <w:sz w:val="20"/>
        </w:rPr>
      </w:pPr>
    </w:p>
    <w:p w:rsidR="00F252A3" w:rsidRPr="00484DB6" w:rsidRDefault="00F252A3" w:rsidP="00F252A3">
      <w:pPr>
        <w:rPr>
          <w:rFonts w:cs="Arial"/>
          <w:sz w:val="20"/>
        </w:rPr>
      </w:pPr>
      <w:r w:rsidRPr="00484DB6">
        <w:rPr>
          <w:rFonts w:cs="Arial"/>
          <w:b/>
          <w:sz w:val="20"/>
        </w:rPr>
        <w:t>4.5.2) Prodotti prefabbricati non soggetti a Marcatura CE</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Per gli elementi strutturali prefabbricati qui disciplinati, quando non soggetti a Dichiarazione di Prestazione e conseguente Marcatura CE secondo una specifica tecnica armonizzata elaborata ai sensi del Regolamento UE 305/2011 e i cui riferimenti sono pubblicati sulla Gazzetta Ufficiale dell’Unione Europea, sono previste due categorie di produzione:</w:t>
      </w:r>
    </w:p>
    <w:p w:rsidR="00F252A3" w:rsidRPr="00484DB6" w:rsidRDefault="00F252A3" w:rsidP="00F252A3">
      <w:pPr>
        <w:ind w:right="1" w:firstLine="283"/>
        <w:rPr>
          <w:rFonts w:cs="Arial"/>
          <w:sz w:val="20"/>
        </w:rPr>
      </w:pPr>
      <w:r w:rsidRPr="00484DB6">
        <w:rPr>
          <w:rFonts w:cs="Arial"/>
          <w:sz w:val="20"/>
        </w:rPr>
        <w:t>- serie dichiarata</w:t>
      </w:r>
    </w:p>
    <w:p w:rsidR="00F252A3" w:rsidRPr="00484DB6" w:rsidRDefault="00F252A3" w:rsidP="00F252A3">
      <w:pPr>
        <w:ind w:right="1" w:firstLine="283"/>
        <w:rPr>
          <w:rFonts w:cs="Arial"/>
          <w:sz w:val="20"/>
        </w:rPr>
      </w:pPr>
      <w:r w:rsidRPr="00484DB6">
        <w:rPr>
          <w:rFonts w:cs="Arial"/>
          <w:sz w:val="20"/>
        </w:rPr>
        <w:t>- serie controllata</w:t>
      </w:r>
    </w:p>
    <w:p w:rsidR="00F252A3" w:rsidRPr="00484DB6" w:rsidRDefault="00F252A3" w:rsidP="00F252A3">
      <w:pPr>
        <w:ind w:right="1" w:firstLine="283"/>
        <w:rPr>
          <w:rFonts w:cs="Arial"/>
          <w:sz w:val="20"/>
        </w:rPr>
      </w:pPr>
      <w:r w:rsidRPr="00484DB6">
        <w:rPr>
          <w:rFonts w:cs="Arial"/>
          <w:sz w:val="20"/>
        </w:rPr>
        <w:t>I componenti per i quali non sia applicabile la marcatura CE, ai sensi del Regolamento UE 305/2011, devono essere realizzati attraverso processi sottoposti ad un sistema di controllo della produzione ed i produttori di componenti in serie dichiarata ed in serie controllata, devono altresì provvedere alla preventiva qualificazione del sistema di produzione, con le modalità indicate nel punto 11.8 del D.M. 17 gennaio 2018.</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4.5.3) Responsabilità e Competenze</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Il Progettista e il Direttore tecnico dello stabilimento di prefabbricazione, ciascuno per le proprie competenze, sono responsabili della capacità portante e della sicurezza del componente, sia incorporato nell'opera, sia durante le fasi di trasporto fino a piè d'opera.</w:t>
      </w:r>
    </w:p>
    <w:p w:rsidR="00F252A3" w:rsidRPr="00484DB6" w:rsidRDefault="00F252A3" w:rsidP="00F252A3">
      <w:pPr>
        <w:ind w:right="1" w:firstLine="283"/>
        <w:rPr>
          <w:rFonts w:cs="Arial"/>
          <w:sz w:val="20"/>
        </w:rPr>
      </w:pPr>
      <w:r w:rsidRPr="00484DB6">
        <w:rPr>
          <w:rFonts w:cs="Arial"/>
          <w:sz w:val="20"/>
        </w:rPr>
        <w:t>È responsabilità del progettista e della Direzione dei Lavori del complesso strutturale di cui l'elemento fa parte, ciascuno per le proprie competenze, la verifica del componente durante il montaggio, la messa in opera e l'uso dell'insieme strutturale realizzato.</w:t>
      </w:r>
    </w:p>
    <w:p w:rsidR="00F252A3" w:rsidRPr="00484DB6" w:rsidRDefault="00F252A3" w:rsidP="00F252A3">
      <w:pPr>
        <w:ind w:right="1" w:firstLine="283"/>
        <w:rPr>
          <w:rFonts w:cs="Arial"/>
          <w:sz w:val="20"/>
        </w:rPr>
      </w:pPr>
      <w:r w:rsidRPr="00484DB6">
        <w:rPr>
          <w:rFonts w:cs="Arial"/>
          <w:sz w:val="20"/>
        </w:rPr>
        <w:t>I componenti prodotti negli stabilimenti permanenti devono essere realizzati sotto la responsabilità di un Direttore tecnico dello stabilimento, dotato di adeguata abilitazione professionale, che assume le responsabilità proprie della Direzione dei Lavori.</w:t>
      </w:r>
    </w:p>
    <w:p w:rsidR="00F252A3" w:rsidRPr="00484DB6" w:rsidRDefault="00F252A3" w:rsidP="00F252A3">
      <w:pPr>
        <w:ind w:right="1" w:firstLine="283"/>
        <w:rPr>
          <w:rFonts w:cs="Arial"/>
          <w:sz w:val="20"/>
        </w:rPr>
      </w:pPr>
      <w:r w:rsidRPr="00484DB6">
        <w:rPr>
          <w:rFonts w:cs="Arial"/>
          <w:sz w:val="20"/>
        </w:rPr>
        <w:t>I componenti di produzione occasionale devono inoltre essere realizzati sotto la vigilanza della Direzione dei Lavori dell'opera di destinazione.</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4.5.4) Posa in Opera</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lastRenderedPageBreak/>
        <w:t>Nella fase di posa e regolazione degli elementi prefabbricati si devono adottare gli accorgimenti necessari per ridurre le sollecitazioni di natura dinamica conseguenti al movimento degli elementi e per evitare forti concentrazioni di sforzo.</w:t>
      </w:r>
    </w:p>
    <w:p w:rsidR="00F252A3" w:rsidRPr="00484DB6" w:rsidRDefault="00F252A3" w:rsidP="00F252A3">
      <w:pPr>
        <w:ind w:firstLine="284"/>
        <w:rPr>
          <w:rFonts w:cs="Arial"/>
          <w:sz w:val="20"/>
        </w:rPr>
      </w:pPr>
      <w:r w:rsidRPr="00484DB6">
        <w:rPr>
          <w:rFonts w:cs="Arial"/>
          <w:sz w:val="20"/>
        </w:rPr>
        <w:t>I dispostivi di regolazione devono consentire il rispetto delle tolleranze previste nel progetto, tenendo conto sia di quelle di produzione degli elementi prefabbricati, sia di quelle di esecuzione della unione.</w:t>
      </w:r>
    </w:p>
    <w:p w:rsidR="00F252A3" w:rsidRPr="00484DB6" w:rsidRDefault="00F252A3" w:rsidP="00F252A3">
      <w:pPr>
        <w:ind w:firstLine="284"/>
        <w:rPr>
          <w:rFonts w:cs="Arial"/>
          <w:sz w:val="20"/>
        </w:rPr>
      </w:pPr>
      <w:r w:rsidRPr="00484DB6">
        <w:rPr>
          <w:rFonts w:cs="Arial"/>
          <w:sz w:val="20"/>
        </w:rPr>
        <w:t>Gli eventuali dispositivi di vincolo impiegati durante la posa se lasciati definitivamente in sito non devono alterare il corretto funzionamento dell'unione realizzata e comunque generare concentrazioni di sforzo.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4.5.5) Appoggi</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Per i componenti appoggiati in via definitiva, particolare attenzione va posta alla posizione e dimensione dell'apparecchio d'appoggio, sia rispetto alla geometria dell'elemento di sostegno, sia rispetto alla sezione terminale dell'elemento portato, tenendo nel dovuto conto le tolleranze dimensionali e di montaggio e le deformazioni per fenomeni reologici e/o termici.</w:t>
      </w:r>
    </w:p>
    <w:p w:rsidR="00F252A3" w:rsidRPr="00484DB6" w:rsidRDefault="00F252A3" w:rsidP="00F252A3">
      <w:pPr>
        <w:ind w:right="1" w:firstLine="283"/>
        <w:rPr>
          <w:rFonts w:cs="Arial"/>
          <w:sz w:val="20"/>
        </w:rPr>
      </w:pPr>
      <w:r w:rsidRPr="00484DB6">
        <w:rPr>
          <w:rFonts w:cs="Arial"/>
          <w:sz w:val="20"/>
        </w:rPr>
        <w:t>I vincoli provvisori o definitivi devono essere progettati con particolare attenzione e, se necessario, validati attraverso prove sperimentali.</w:t>
      </w:r>
    </w:p>
    <w:p w:rsidR="00F252A3" w:rsidRPr="00484DB6" w:rsidRDefault="00F252A3" w:rsidP="00F252A3">
      <w:pPr>
        <w:ind w:right="1" w:firstLine="283"/>
        <w:rPr>
          <w:rFonts w:cs="Arial"/>
          <w:sz w:val="20"/>
        </w:rPr>
      </w:pPr>
      <w:r w:rsidRPr="00484DB6">
        <w:rPr>
          <w:rFonts w:cs="Arial"/>
          <w:sz w:val="20"/>
        </w:rPr>
        <w:t>Gli appoggi scorrevoli devono essere dimensionati in modo da consentire gli spostamenti relativi previsti senza perdita della capacità portante.</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4.5.6) Realizzazione delle Unioni</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Le unioni devono avere resistenza e deformabilità coerenti con le ipotesi progettuali.</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4.5.7) Tolleranze</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Il progetto deve indicare le tolleranze minime di produzione che dovrà rispettare il componente. Il componente che non rispetta tali tolleranze, sarà giudicato non conforme e quindi potrà essere consegnato in cantiere per l’utilizzo nella costruzione solo dopo preventiva accettazione da parte della Direzione dei Lavori.</w:t>
      </w:r>
    </w:p>
    <w:p w:rsidR="00F252A3" w:rsidRPr="00484DB6" w:rsidRDefault="00F252A3" w:rsidP="00F252A3">
      <w:pPr>
        <w:ind w:right="1" w:firstLine="283"/>
        <w:rPr>
          <w:rFonts w:cs="Arial"/>
          <w:sz w:val="20"/>
        </w:rPr>
      </w:pPr>
      <w:r w:rsidRPr="00484DB6">
        <w:rPr>
          <w:rFonts w:cs="Arial"/>
          <w:sz w:val="20"/>
        </w:rPr>
        <w:t>Il progetto dell'opera deve altresì tener conto delle tolleranze di produzione, tracciamento e montaggio assicurando un coerente funzionamento del complesso strutturale.</w:t>
      </w:r>
    </w:p>
    <w:p w:rsidR="00F252A3" w:rsidRPr="00484DB6" w:rsidRDefault="00F252A3" w:rsidP="00F252A3">
      <w:pPr>
        <w:ind w:right="1" w:firstLine="283"/>
        <w:rPr>
          <w:rFonts w:cs="Arial"/>
          <w:sz w:val="20"/>
        </w:rPr>
      </w:pPr>
      <w:r w:rsidRPr="00484DB6">
        <w:rPr>
          <w:rFonts w:cs="Arial"/>
          <w:sz w:val="20"/>
        </w:rPr>
        <w:t>Il montaggio dei componenti ed il completamento dell’opera devono essere conformi alle previsioni di progetto. Nel caso si verificassero delle non conformità, queste devono essere analizzate dalla Direzione dei Lavori nei riguardi delle eventuali necessarie misure correttive.</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b/>
          <w:sz w:val="20"/>
        </w:rPr>
      </w:pPr>
      <w:r w:rsidRPr="00484DB6">
        <w:rPr>
          <w:rFonts w:cs="Arial"/>
          <w:b/>
          <w:sz w:val="20"/>
        </w:rPr>
        <w:t>4.5.8) Montaggio</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Nel rispetto delle vigenti norme antinfortunistiche, i mezzi di sollevamento dovranno essere proporzionati per la massima prestazione prevista nel programma di montaggio; inoltre, nella fase di messa in opera dell'elemento prefabbricato fino al contatto con gli appoggi, i mezzi devono avere velocità di posa commisurata con le caratteristiche del piano di appoggio e con quella dell'elemento stesso. La velocità di discesa deve essere tale da poter considerare non influenti le forze dinamiche di urto.</w:t>
      </w:r>
    </w:p>
    <w:p w:rsidR="00F252A3" w:rsidRPr="00484DB6" w:rsidRDefault="00F252A3" w:rsidP="00F252A3">
      <w:pPr>
        <w:ind w:right="1" w:firstLine="283"/>
        <w:rPr>
          <w:rFonts w:cs="Arial"/>
          <w:sz w:val="20"/>
        </w:rPr>
      </w:pPr>
      <w:r w:rsidRPr="00484DB6">
        <w:rPr>
          <w:rFonts w:cs="Arial"/>
          <w:sz w:val="20"/>
        </w:rPr>
        <w:t>Gli elementi vanno posizionati come e dove indicato in progetto.</w:t>
      </w:r>
    </w:p>
    <w:p w:rsidR="00F252A3" w:rsidRPr="00484DB6" w:rsidRDefault="00F252A3" w:rsidP="00F252A3">
      <w:pPr>
        <w:ind w:right="1" w:firstLine="283"/>
        <w:rPr>
          <w:rFonts w:cs="Arial"/>
          <w:sz w:val="20"/>
        </w:rPr>
      </w:pPr>
      <w:r w:rsidRPr="00484DB6">
        <w:rPr>
          <w:rFonts w:cs="Arial"/>
          <w:sz w:val="20"/>
        </w:rPr>
        <w:t>In presenza di getti integrativi eseguiti in opera, che concorrono alla stabilità della struttura anche nelle fasi intermedie, il programma di montaggio sarà condizionato dai tempi di maturazione richiesti per questi, secondo le prescrizioni di progetto.</w:t>
      </w:r>
    </w:p>
    <w:p w:rsidR="00F252A3" w:rsidRPr="00484DB6" w:rsidRDefault="00F252A3" w:rsidP="00F252A3">
      <w:pPr>
        <w:ind w:right="1" w:firstLine="283"/>
        <w:rPr>
          <w:rFonts w:cs="Arial"/>
          <w:sz w:val="20"/>
        </w:rPr>
      </w:pPr>
      <w:r w:rsidRPr="00484DB6">
        <w:rPr>
          <w:rFonts w:cs="Arial"/>
          <w:sz w:val="20"/>
        </w:rPr>
        <w:t>L'elemento può essere svincolato dall'apparecchiatura di posa solo dopo che è stata assicurata la sua stabilità.</w:t>
      </w:r>
    </w:p>
    <w:p w:rsidR="00F252A3" w:rsidRPr="00484DB6" w:rsidRDefault="00F252A3" w:rsidP="00F252A3">
      <w:pPr>
        <w:ind w:right="1" w:firstLine="283"/>
        <w:rPr>
          <w:rFonts w:cs="Arial"/>
          <w:sz w:val="20"/>
        </w:rPr>
      </w:pPr>
      <w:r w:rsidRPr="00484DB6">
        <w:rPr>
          <w:rFonts w:cs="Arial"/>
          <w:sz w:val="20"/>
        </w:rPr>
        <w:t>L'elemento deve essere stabile di fronte all'azione del:</w:t>
      </w:r>
    </w:p>
    <w:p w:rsidR="00F252A3" w:rsidRPr="00484DB6" w:rsidRDefault="00F252A3" w:rsidP="00F252A3">
      <w:pPr>
        <w:ind w:right="1" w:firstLine="283"/>
        <w:rPr>
          <w:rFonts w:cs="Arial"/>
          <w:sz w:val="20"/>
        </w:rPr>
      </w:pPr>
      <w:r w:rsidRPr="00484DB6">
        <w:rPr>
          <w:rFonts w:cs="Arial"/>
          <w:sz w:val="20"/>
        </w:rPr>
        <w:t>-</w:t>
      </w:r>
      <w:r w:rsidRPr="00484DB6">
        <w:rPr>
          <w:rFonts w:cs="Arial"/>
          <w:sz w:val="20"/>
        </w:rPr>
        <w:tab/>
        <w:t>peso proprio;</w:t>
      </w:r>
    </w:p>
    <w:p w:rsidR="00F252A3" w:rsidRPr="00484DB6" w:rsidRDefault="00F252A3" w:rsidP="00F252A3">
      <w:pPr>
        <w:ind w:right="1" w:firstLine="283"/>
        <w:rPr>
          <w:rFonts w:cs="Arial"/>
          <w:sz w:val="20"/>
        </w:rPr>
      </w:pPr>
      <w:r w:rsidRPr="00484DB6">
        <w:rPr>
          <w:rFonts w:cs="Arial"/>
          <w:sz w:val="20"/>
        </w:rPr>
        <w:t>-</w:t>
      </w:r>
      <w:r w:rsidRPr="00484DB6">
        <w:rPr>
          <w:rFonts w:cs="Arial"/>
          <w:sz w:val="20"/>
        </w:rPr>
        <w:tab/>
        <w:t>vento;</w:t>
      </w:r>
    </w:p>
    <w:p w:rsidR="00F252A3" w:rsidRPr="00484DB6" w:rsidRDefault="00F252A3" w:rsidP="00F252A3">
      <w:pPr>
        <w:ind w:right="1" w:firstLine="283"/>
        <w:rPr>
          <w:rFonts w:cs="Arial"/>
          <w:sz w:val="20"/>
        </w:rPr>
      </w:pPr>
      <w:r w:rsidRPr="00484DB6">
        <w:rPr>
          <w:rFonts w:cs="Arial"/>
          <w:sz w:val="20"/>
        </w:rPr>
        <w:t>-</w:t>
      </w:r>
      <w:r w:rsidRPr="00484DB6">
        <w:rPr>
          <w:rFonts w:cs="Arial"/>
          <w:sz w:val="20"/>
        </w:rPr>
        <w:tab/>
        <w:t>azioni di successive operazioni di montaggio;</w:t>
      </w:r>
    </w:p>
    <w:p w:rsidR="00F252A3" w:rsidRPr="00484DB6" w:rsidRDefault="00F252A3" w:rsidP="00F252A3">
      <w:pPr>
        <w:ind w:right="1" w:firstLine="283"/>
        <w:rPr>
          <w:rFonts w:cs="Arial"/>
          <w:sz w:val="20"/>
        </w:rPr>
      </w:pPr>
      <w:r w:rsidRPr="00484DB6">
        <w:rPr>
          <w:rFonts w:cs="Arial"/>
          <w:sz w:val="20"/>
        </w:rPr>
        <w:t>-</w:t>
      </w:r>
      <w:r w:rsidRPr="00484DB6">
        <w:rPr>
          <w:rFonts w:cs="Arial"/>
          <w:sz w:val="20"/>
        </w:rPr>
        <w:tab/>
        <w:t>azioni orizzontali convenzionali.</w:t>
      </w:r>
    </w:p>
    <w:p w:rsidR="00F252A3" w:rsidRPr="00484DB6" w:rsidRDefault="00F252A3" w:rsidP="00F252A3">
      <w:pPr>
        <w:ind w:right="1" w:firstLine="283"/>
        <w:rPr>
          <w:rFonts w:cs="Arial"/>
          <w:sz w:val="20"/>
        </w:rPr>
      </w:pPr>
      <w:r w:rsidRPr="00484DB6">
        <w:rPr>
          <w:rFonts w:cs="Arial"/>
          <w:sz w:val="20"/>
        </w:rPr>
        <w:t xml:space="preserve">L'attrezzatura impiegata per garantire la stabilità nella fase transitoria che precede il definitivo completamento dell'opera deve essere munita di apparecchiature, ove necessarie, per consentire, in condizioni di sicurezza, le operazioni di registrazione dell'elemento (piccoli spostamenti delle tre coordinate, piccole rotazioni, ecc.) e, dopo il fissaggio definitivo degli elementi, le operazioni di </w:t>
      </w:r>
      <w:r w:rsidRPr="00484DB6">
        <w:rPr>
          <w:rFonts w:cs="Arial"/>
          <w:sz w:val="20"/>
        </w:rPr>
        <w:lastRenderedPageBreak/>
        <w:t>recupero dell'attrezzatura stessa, senza provocare danni agli elementi stessi.</w:t>
      </w:r>
    </w:p>
    <w:p w:rsidR="00F252A3" w:rsidRPr="00484DB6" w:rsidRDefault="00F252A3" w:rsidP="00F252A3">
      <w:pPr>
        <w:ind w:right="1" w:firstLine="283"/>
        <w:rPr>
          <w:rFonts w:cs="Arial"/>
          <w:sz w:val="20"/>
        </w:rPr>
      </w:pPr>
      <w:r w:rsidRPr="00484DB6">
        <w:rPr>
          <w:rFonts w:cs="Arial"/>
          <w:sz w:val="20"/>
        </w:rPr>
        <w:t>Deve essere previsto nel progetto un ordine di montaggio tale da evitare che si determinino strutture temporaneamente labili o instabili nel loro insieme.</w:t>
      </w:r>
    </w:p>
    <w:p w:rsidR="00F252A3" w:rsidRPr="00484DB6" w:rsidRDefault="00F252A3" w:rsidP="00F252A3">
      <w:pPr>
        <w:ind w:right="1" w:firstLine="283"/>
        <w:rPr>
          <w:rFonts w:cs="Arial"/>
          <w:sz w:val="20"/>
        </w:rPr>
      </w:pPr>
      <w:r w:rsidRPr="00484DB6">
        <w:rPr>
          <w:rFonts w:cs="Arial"/>
          <w:sz w:val="20"/>
        </w:rPr>
        <w:t>La corrispondenza dei manufatti al progetto sotto tutti gli aspetti rilevabili al montaggio (forme, dimensioni e relative tolleranze) sarà verificata dalla Direzione dei Lavori, che escluderà l'impiego di manufatti non rispondenti.</w:t>
      </w:r>
    </w:p>
    <w:p w:rsidR="00F252A3" w:rsidRPr="00484DB6" w:rsidRDefault="00F252A3" w:rsidP="00F252A3">
      <w:pPr>
        <w:ind w:right="1" w:firstLine="283"/>
        <w:rPr>
          <w:rFonts w:cs="Arial"/>
          <w:sz w:val="20"/>
        </w:rPr>
      </w:pPr>
    </w:p>
    <w:p w:rsidR="00F252A3" w:rsidRPr="00484DB6" w:rsidRDefault="00F252A3" w:rsidP="00F252A3">
      <w:pPr>
        <w:rPr>
          <w:rFonts w:cs="Arial"/>
          <w:b/>
          <w:sz w:val="20"/>
        </w:rPr>
      </w:pPr>
      <w:r w:rsidRPr="00484DB6">
        <w:rPr>
          <w:rFonts w:cs="Arial"/>
          <w:b/>
          <w:sz w:val="20"/>
        </w:rPr>
        <w:t>4.5.9) Controllo e Accettazione</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 xml:space="preserve">Per i controlli sulle strutture prefabbricate di calcestruzzo armato e precompresso ci si atterrà a quanto previsto dal D.M. 17 gennaio 2018. </w:t>
      </w:r>
    </w:p>
    <w:p w:rsidR="00F252A3" w:rsidRPr="00484DB6" w:rsidRDefault="00F252A3" w:rsidP="00F252A3">
      <w:pPr>
        <w:ind w:right="1" w:firstLine="283"/>
        <w:rPr>
          <w:rFonts w:cs="Arial"/>
          <w:sz w:val="20"/>
        </w:rPr>
      </w:pPr>
      <w:r w:rsidRPr="00484DB6">
        <w:rPr>
          <w:rFonts w:cs="Arial"/>
          <w:sz w:val="20"/>
        </w:rPr>
        <w:t>Le prove di accettazione e le eventuali prove complementari, sono eseguite e certificate dai laboratori di cui all'art. 59 del d.P.R. n. 380/2001.</w:t>
      </w:r>
    </w:p>
    <w:p w:rsidR="00F252A3" w:rsidRDefault="00F252A3" w:rsidP="00F252A3">
      <w:pPr>
        <w:ind w:right="1" w:firstLine="283"/>
        <w:rPr>
          <w:rFonts w:cs="Arial"/>
          <w:sz w:val="20"/>
        </w:rPr>
      </w:pPr>
      <w:r w:rsidRPr="00484DB6">
        <w:rPr>
          <w:rFonts w:cs="Arial"/>
          <w:sz w:val="20"/>
        </w:rPr>
        <w:t>La qualità del calcestruzzo, è controllata dalla Direzione dei Lavori, secondo le procedure di cui al punto 11.8. del D.M. 17 gennaio 2018.</w:t>
      </w:r>
    </w:p>
    <w:p w:rsidR="007F3291" w:rsidRPr="00484DB6" w:rsidRDefault="007F3291" w:rsidP="00F252A3">
      <w:pPr>
        <w:ind w:right="1" w:firstLine="283"/>
        <w:rPr>
          <w:rFonts w:cs="Arial"/>
          <w:sz w:val="20"/>
        </w:rPr>
      </w:pPr>
    </w:p>
    <w:p w:rsidR="00F252A3" w:rsidRPr="00484DB6" w:rsidRDefault="00F252A3" w:rsidP="00F252A3">
      <w:pPr>
        <w:jc w:val="center"/>
        <w:rPr>
          <w:rFonts w:cs="Arial"/>
          <w:sz w:val="20"/>
        </w:rPr>
      </w:pPr>
      <w:r w:rsidRPr="00484DB6">
        <w:rPr>
          <w:rFonts w:cs="Arial"/>
          <w:b/>
          <w:sz w:val="20"/>
        </w:rPr>
        <w:t>Art. 4.6</w:t>
      </w:r>
    </w:p>
    <w:p w:rsidR="00F252A3" w:rsidRPr="00484DB6" w:rsidRDefault="00F252A3" w:rsidP="00F252A3">
      <w:pPr>
        <w:jc w:val="center"/>
        <w:rPr>
          <w:rFonts w:cs="Arial"/>
          <w:b/>
          <w:sz w:val="20"/>
        </w:rPr>
      </w:pPr>
      <w:r w:rsidRPr="00484DB6">
        <w:rPr>
          <w:rFonts w:cs="Arial"/>
          <w:b/>
          <w:sz w:val="20"/>
        </w:rPr>
        <w:t>SOLAI</w:t>
      </w:r>
    </w:p>
    <w:p w:rsidR="00F252A3" w:rsidRPr="00484DB6" w:rsidRDefault="00F252A3" w:rsidP="00F252A3">
      <w:pPr>
        <w:rPr>
          <w:rFonts w:cs="Arial"/>
        </w:rPr>
      </w:pPr>
    </w:p>
    <w:p w:rsidR="00F252A3" w:rsidRPr="00484DB6" w:rsidRDefault="00F252A3" w:rsidP="00F252A3">
      <w:pPr>
        <w:ind w:right="1" w:firstLine="283"/>
        <w:rPr>
          <w:rFonts w:cs="Arial"/>
          <w:b/>
          <w:sz w:val="20"/>
        </w:rPr>
      </w:pPr>
      <w:bookmarkStart w:id="24" w:name="540"/>
      <w:bookmarkEnd w:id="24"/>
      <w:r w:rsidRPr="00484DB6">
        <w:rPr>
          <w:rFonts w:cs="Arial"/>
          <w:b/>
          <w:sz w:val="20"/>
        </w:rPr>
        <w:t>4.6.1) Generalità</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Le coperture degli ambienti e dei vani e le suddivisioni orizzontali tra gli stessi potranno essere eseguite, a seconda delle indicazioni di progetto, mediante dei solai individuati tra le tipologie di seguito descritte e dettagliate negli articoli successivi.</w:t>
      </w:r>
    </w:p>
    <w:p w:rsidR="00F252A3" w:rsidRPr="00484DB6" w:rsidRDefault="00F252A3" w:rsidP="00F252A3">
      <w:pPr>
        <w:ind w:right="1" w:firstLine="283"/>
        <w:rPr>
          <w:rFonts w:cs="Arial"/>
          <w:sz w:val="20"/>
        </w:rPr>
      </w:pPr>
      <w:r w:rsidRPr="00484DB6">
        <w:rPr>
          <w:rFonts w:cs="Arial"/>
          <w:sz w:val="20"/>
        </w:rPr>
        <w:t>I solai piani devono adempiere alla funzione di trasferimento dei carichi verticali nelle strutture verticali e, in caso di sisma, a quella di assorbimento e ripartizione delle azioni orizzontali alle strutture verticali.</w:t>
      </w:r>
    </w:p>
    <w:p w:rsidR="00F252A3" w:rsidRPr="00484DB6" w:rsidRDefault="00F252A3" w:rsidP="00F252A3">
      <w:pPr>
        <w:ind w:right="1" w:firstLine="283"/>
        <w:rPr>
          <w:rFonts w:cs="Arial"/>
          <w:sz w:val="20"/>
        </w:rPr>
      </w:pPr>
      <w:r w:rsidRPr="00484DB6">
        <w:rPr>
          <w:rFonts w:cs="Arial"/>
          <w:sz w:val="20"/>
        </w:rPr>
        <w:t>Al fine di garantire la continuità strutturale, unitamente all’esecuzione di collegamenti fra gli impalcati e le strutture di elevazione verticale (pilastri e travi), vi potrà essere la necessità di eseguire adeguati concatenamenti, costruiti con elementi di ripartizione o di controventamento.</w:t>
      </w:r>
    </w:p>
    <w:p w:rsidR="00F252A3" w:rsidRPr="00484DB6" w:rsidRDefault="00F252A3" w:rsidP="00F252A3">
      <w:pPr>
        <w:ind w:right="1" w:firstLine="283"/>
        <w:rPr>
          <w:rFonts w:cs="Arial"/>
          <w:sz w:val="20"/>
        </w:rPr>
      </w:pPr>
      <w:r w:rsidRPr="00484DB6">
        <w:rPr>
          <w:rFonts w:cs="Arial"/>
          <w:sz w:val="20"/>
        </w:rPr>
        <w:t>In particolare nelle strutture in muratura portante, i solai devono essere collegati ad un cordolo perimetrale continuo in c.a., avente la medesima lunghezza della muratura sottostante e di altezza pari ad almeno ½ della sua larghezza.</w:t>
      </w:r>
    </w:p>
    <w:p w:rsidR="00F252A3" w:rsidRPr="00484DB6" w:rsidRDefault="00F252A3" w:rsidP="00F252A3">
      <w:pPr>
        <w:ind w:right="1" w:firstLine="283"/>
        <w:rPr>
          <w:rFonts w:cs="Arial"/>
          <w:sz w:val="20"/>
        </w:rPr>
      </w:pPr>
      <w:r w:rsidRPr="00484DB6">
        <w:rPr>
          <w:rFonts w:cs="Arial"/>
          <w:sz w:val="20"/>
        </w:rPr>
        <w:t>I solai di partizione orizzontale (interpiano) e quelli di copertura dovranno essere calcolati per sopportare, a seconda della destinazione d’uso prevista per i locali relativi, i carichi comprensivi degli effetti dinamici ordinari, così come previsto dal D.M. 17 gennaio 2018.</w:t>
      </w:r>
    </w:p>
    <w:p w:rsidR="00F252A3" w:rsidRPr="00484DB6" w:rsidRDefault="00F252A3" w:rsidP="00F252A3">
      <w:pPr>
        <w:ind w:right="1" w:firstLine="283"/>
        <w:rPr>
          <w:rFonts w:cs="Arial"/>
          <w:sz w:val="20"/>
        </w:rPr>
      </w:pPr>
      <w:r w:rsidRPr="00484DB6">
        <w:rPr>
          <w:rFonts w:cs="Arial"/>
          <w:sz w:val="20"/>
        </w:rPr>
        <w:t>Rispetto alle tecniche costruttive adottate, si potrà individuare la seguente classificazione di impalcati/solai:</w:t>
      </w:r>
    </w:p>
    <w:p w:rsidR="00F252A3" w:rsidRPr="00484DB6" w:rsidRDefault="00F252A3" w:rsidP="00F252A3">
      <w:pPr>
        <w:pStyle w:val="Paragrafoelenco"/>
        <w:widowControl w:val="0"/>
        <w:numPr>
          <w:ilvl w:val="0"/>
          <w:numId w:val="55"/>
        </w:numPr>
        <w:autoSpaceDE w:val="0"/>
        <w:autoSpaceDN w:val="0"/>
        <w:adjustRightInd w:val="0"/>
        <w:ind w:left="1003" w:right="1" w:hanging="360"/>
        <w:contextualSpacing/>
        <w:rPr>
          <w:rFonts w:cs="Arial"/>
          <w:sz w:val="20"/>
        </w:rPr>
      </w:pPr>
      <w:r w:rsidRPr="00484DB6">
        <w:rPr>
          <w:rFonts w:cs="Arial"/>
          <w:sz w:val="20"/>
        </w:rPr>
        <w:t>impalcati in calcestruzzo armato</w:t>
      </w:r>
    </w:p>
    <w:p w:rsidR="00F252A3" w:rsidRPr="00484DB6" w:rsidRDefault="00F252A3" w:rsidP="00F252A3">
      <w:pPr>
        <w:pStyle w:val="Paragrafoelenco"/>
        <w:ind w:left="1363" w:right="1"/>
        <w:rPr>
          <w:rFonts w:cs="Arial"/>
          <w:sz w:val="20"/>
        </w:rPr>
      </w:pPr>
      <w:r w:rsidRPr="00484DB6">
        <w:rPr>
          <w:rFonts w:cs="Arial"/>
          <w:sz w:val="20"/>
        </w:rPr>
        <w:t>solai in getto pieno</w:t>
      </w:r>
    </w:p>
    <w:p w:rsidR="00F252A3" w:rsidRPr="00484DB6" w:rsidRDefault="00F252A3" w:rsidP="00F252A3">
      <w:pPr>
        <w:pStyle w:val="Paragrafoelenco"/>
        <w:ind w:left="1363" w:right="1"/>
        <w:rPr>
          <w:rFonts w:cs="Arial"/>
          <w:sz w:val="20"/>
        </w:rPr>
      </w:pPr>
      <w:r w:rsidRPr="00484DB6">
        <w:rPr>
          <w:rFonts w:cs="Arial"/>
          <w:sz w:val="20"/>
        </w:rPr>
        <w:t>solai alleggeriti</w:t>
      </w:r>
    </w:p>
    <w:p w:rsidR="00F252A3" w:rsidRPr="00484DB6" w:rsidRDefault="00F252A3" w:rsidP="00F252A3">
      <w:pPr>
        <w:pStyle w:val="Paragrafoelenco"/>
        <w:ind w:left="1363" w:right="1"/>
        <w:rPr>
          <w:rFonts w:cs="Arial"/>
          <w:sz w:val="20"/>
        </w:rPr>
      </w:pPr>
      <w:r w:rsidRPr="00484DB6">
        <w:rPr>
          <w:rFonts w:cs="Arial"/>
          <w:sz w:val="20"/>
        </w:rPr>
        <w:t xml:space="preserve">solai ad elementi prefabbricati in </w:t>
      </w:r>
      <w:proofErr w:type="spellStart"/>
      <w:r w:rsidRPr="00484DB6">
        <w:rPr>
          <w:rFonts w:cs="Arial"/>
          <w:sz w:val="20"/>
        </w:rPr>
        <w:t>c.a.p.</w:t>
      </w:r>
      <w:proofErr w:type="spellEnd"/>
    </w:p>
    <w:p w:rsidR="00F252A3" w:rsidRPr="00484DB6" w:rsidRDefault="00F252A3" w:rsidP="00F252A3">
      <w:pPr>
        <w:pStyle w:val="Paragrafoelenco"/>
        <w:widowControl w:val="0"/>
        <w:numPr>
          <w:ilvl w:val="0"/>
          <w:numId w:val="55"/>
        </w:numPr>
        <w:autoSpaceDE w:val="0"/>
        <w:autoSpaceDN w:val="0"/>
        <w:adjustRightInd w:val="0"/>
        <w:ind w:left="1003" w:right="1" w:hanging="360"/>
        <w:contextualSpacing/>
        <w:rPr>
          <w:rFonts w:cs="Arial"/>
          <w:sz w:val="20"/>
        </w:rPr>
      </w:pPr>
      <w:r w:rsidRPr="00484DB6">
        <w:rPr>
          <w:rFonts w:cs="Arial"/>
          <w:sz w:val="20"/>
        </w:rPr>
        <w:t>impalcati in acciaio</w:t>
      </w:r>
    </w:p>
    <w:p w:rsidR="00F252A3" w:rsidRPr="00484DB6" w:rsidRDefault="00F252A3" w:rsidP="00F252A3">
      <w:pPr>
        <w:pStyle w:val="Paragrafoelenco"/>
        <w:ind w:left="1363" w:right="1"/>
        <w:rPr>
          <w:rFonts w:cs="Arial"/>
          <w:sz w:val="20"/>
        </w:rPr>
      </w:pPr>
      <w:r w:rsidRPr="00484DB6">
        <w:rPr>
          <w:rFonts w:cs="Arial"/>
          <w:sz w:val="20"/>
        </w:rPr>
        <w:t>profilati</w:t>
      </w:r>
    </w:p>
    <w:p w:rsidR="00F252A3" w:rsidRPr="00484DB6" w:rsidRDefault="00F252A3" w:rsidP="00F252A3">
      <w:pPr>
        <w:pStyle w:val="Paragrafoelenco"/>
        <w:ind w:left="1363" w:right="1"/>
        <w:rPr>
          <w:rFonts w:cs="Arial"/>
          <w:sz w:val="20"/>
        </w:rPr>
      </w:pPr>
      <w:r w:rsidRPr="00484DB6">
        <w:rPr>
          <w:rFonts w:cs="Arial"/>
          <w:sz w:val="20"/>
        </w:rPr>
        <w:t>travature reticolari</w:t>
      </w:r>
    </w:p>
    <w:p w:rsidR="00F252A3" w:rsidRPr="00484DB6" w:rsidRDefault="00F252A3" w:rsidP="00F252A3">
      <w:pPr>
        <w:pStyle w:val="Paragrafoelenco"/>
        <w:ind w:left="1363" w:right="1"/>
        <w:rPr>
          <w:rFonts w:cs="Arial"/>
          <w:sz w:val="20"/>
        </w:rPr>
      </w:pPr>
      <w:r w:rsidRPr="00484DB6">
        <w:rPr>
          <w:rFonts w:cs="Arial"/>
          <w:sz w:val="20"/>
        </w:rPr>
        <w:t>solai in lamiera grecata e misti</w:t>
      </w:r>
    </w:p>
    <w:p w:rsidR="00F252A3" w:rsidRPr="00484DB6" w:rsidRDefault="00F252A3" w:rsidP="00F252A3">
      <w:pPr>
        <w:pStyle w:val="Paragrafoelenco"/>
        <w:widowControl w:val="0"/>
        <w:numPr>
          <w:ilvl w:val="0"/>
          <w:numId w:val="55"/>
        </w:numPr>
        <w:autoSpaceDE w:val="0"/>
        <w:autoSpaceDN w:val="0"/>
        <w:adjustRightInd w:val="0"/>
        <w:ind w:left="1003" w:right="1" w:hanging="360"/>
        <w:contextualSpacing/>
        <w:rPr>
          <w:rFonts w:cs="Arial"/>
          <w:sz w:val="20"/>
        </w:rPr>
      </w:pPr>
      <w:r w:rsidRPr="00484DB6">
        <w:rPr>
          <w:rFonts w:cs="Arial"/>
          <w:sz w:val="20"/>
        </w:rPr>
        <w:t>impalcati in legno lamellare</w:t>
      </w:r>
    </w:p>
    <w:p w:rsidR="00F252A3" w:rsidRPr="00484DB6" w:rsidRDefault="00F252A3" w:rsidP="00F252A3">
      <w:pPr>
        <w:pStyle w:val="Paragrafoelenco"/>
        <w:ind w:left="1363" w:right="1"/>
        <w:rPr>
          <w:rFonts w:cs="Arial"/>
          <w:sz w:val="20"/>
        </w:rPr>
      </w:pPr>
      <w:r w:rsidRPr="00484DB6">
        <w:rPr>
          <w:rFonts w:cs="Arial"/>
          <w:sz w:val="20"/>
        </w:rPr>
        <w:t>solai tradizionali</w:t>
      </w:r>
    </w:p>
    <w:p w:rsidR="00F252A3" w:rsidRPr="00484DB6" w:rsidRDefault="00F252A3" w:rsidP="00F252A3">
      <w:pPr>
        <w:pStyle w:val="Paragrafoelenco"/>
        <w:ind w:left="1363" w:right="1"/>
        <w:rPr>
          <w:rFonts w:cs="Arial"/>
          <w:sz w:val="20"/>
        </w:rPr>
      </w:pPr>
      <w:r w:rsidRPr="00484DB6">
        <w:rPr>
          <w:rFonts w:cs="Arial"/>
          <w:sz w:val="20"/>
        </w:rPr>
        <w:t>solai prefabbricati</w:t>
      </w:r>
    </w:p>
    <w:p w:rsidR="00F252A3" w:rsidRPr="00484DB6" w:rsidRDefault="00F252A3" w:rsidP="00F252A3">
      <w:pPr>
        <w:ind w:firstLine="284"/>
        <w:rPr>
          <w:rFonts w:cs="Arial"/>
          <w:sz w:val="20"/>
        </w:rPr>
      </w:pPr>
      <w:r w:rsidRPr="00484DB6">
        <w:rPr>
          <w:rFonts w:cs="Arial"/>
          <w:sz w:val="20"/>
        </w:rPr>
        <w:t>Nei paragrafi successivi sarà specificata la procedura esecutiva di messa in opera riferita a ciascuno di detti impalcati.</w:t>
      </w:r>
    </w:p>
    <w:p w:rsidR="00F252A3" w:rsidRPr="00484DB6" w:rsidRDefault="00F252A3" w:rsidP="00F252A3">
      <w:pPr>
        <w:rPr>
          <w:rFonts w:cs="Arial"/>
        </w:rPr>
      </w:pPr>
    </w:p>
    <w:p w:rsidR="007F3291" w:rsidRDefault="007F3291" w:rsidP="00F252A3">
      <w:pPr>
        <w:rPr>
          <w:rFonts w:cs="Arial"/>
          <w:vanish/>
          <w:sz w:val="14"/>
        </w:rPr>
      </w:pPr>
      <w:bookmarkStart w:id="25" w:name="541"/>
      <w:bookmarkEnd w:id="25"/>
    </w:p>
    <w:p w:rsidR="00F252A3" w:rsidRPr="00484DB6" w:rsidRDefault="00F252A3" w:rsidP="00F252A3">
      <w:pPr>
        <w:rPr>
          <w:rFonts w:cs="Arial"/>
          <w:b/>
          <w:sz w:val="20"/>
        </w:rPr>
      </w:pPr>
      <w:r w:rsidRPr="00484DB6">
        <w:rPr>
          <w:rFonts w:cs="Arial"/>
          <w:b/>
          <w:sz w:val="20"/>
        </w:rPr>
        <w:t>4.6.2) Solai di calcestruzzo armato: generalità</w:t>
      </w:r>
    </w:p>
    <w:p w:rsidR="00F252A3" w:rsidRPr="00484DB6" w:rsidRDefault="00F252A3" w:rsidP="00F252A3">
      <w:pPr>
        <w:rPr>
          <w:rFonts w:cs="Arial"/>
          <w:b/>
          <w:sz w:val="20"/>
        </w:rPr>
      </w:pPr>
    </w:p>
    <w:p w:rsidR="00F252A3" w:rsidRPr="00484DB6" w:rsidRDefault="00F252A3" w:rsidP="00F252A3">
      <w:pPr>
        <w:ind w:firstLine="284"/>
        <w:rPr>
          <w:rFonts w:cs="Arial"/>
          <w:sz w:val="20"/>
        </w:rPr>
      </w:pPr>
      <w:r w:rsidRPr="00484DB6">
        <w:rPr>
          <w:rFonts w:cs="Arial"/>
          <w:sz w:val="20"/>
        </w:rPr>
        <w:t>Gli impalcati in c.a. sono in genere distinti fra impalcati gettati in opera e impalcati realizzati con elementi prefabbricati, e ciò e valido sia per le strutture principali, sia per quelle secondarie.</w:t>
      </w:r>
    </w:p>
    <w:p w:rsidR="00F252A3" w:rsidRPr="00484DB6" w:rsidRDefault="00F252A3" w:rsidP="00F252A3">
      <w:pPr>
        <w:ind w:firstLine="284"/>
        <w:rPr>
          <w:rFonts w:cs="Arial"/>
          <w:sz w:val="20"/>
        </w:rPr>
      </w:pPr>
      <w:r w:rsidRPr="00484DB6">
        <w:rPr>
          <w:rFonts w:cs="Arial"/>
          <w:sz w:val="20"/>
        </w:rPr>
        <w:t>Potranno essere realizzati sia solai eseguiti in opera, sia formati dall’associazione di elementi prefabbricati.</w:t>
      </w:r>
    </w:p>
    <w:p w:rsidR="00F252A3" w:rsidRPr="00484DB6" w:rsidRDefault="00F252A3" w:rsidP="00F252A3">
      <w:pPr>
        <w:ind w:firstLine="284"/>
        <w:rPr>
          <w:rFonts w:cs="Arial"/>
          <w:sz w:val="20"/>
        </w:rPr>
      </w:pPr>
      <w:r w:rsidRPr="00484DB6">
        <w:rPr>
          <w:rFonts w:cs="Arial"/>
          <w:sz w:val="20"/>
        </w:rPr>
        <w:t>I solai di calcestruzzo armato o misti potranno essere distinti come di seguito:</w:t>
      </w:r>
    </w:p>
    <w:p w:rsidR="00F252A3" w:rsidRPr="00484DB6" w:rsidRDefault="00F252A3" w:rsidP="00F252A3">
      <w:pPr>
        <w:pStyle w:val="Paragrafoelenco"/>
        <w:widowControl w:val="0"/>
        <w:numPr>
          <w:ilvl w:val="0"/>
          <w:numId w:val="56"/>
        </w:numPr>
        <w:autoSpaceDE w:val="0"/>
        <w:autoSpaceDN w:val="0"/>
        <w:adjustRightInd w:val="0"/>
        <w:ind w:left="1068" w:hanging="360"/>
        <w:contextualSpacing/>
        <w:rPr>
          <w:rFonts w:cs="Arial"/>
          <w:sz w:val="20"/>
        </w:rPr>
      </w:pPr>
      <w:r w:rsidRPr="00484DB6">
        <w:rPr>
          <w:rFonts w:cs="Arial"/>
          <w:sz w:val="20"/>
        </w:rPr>
        <w:t>Solai in getto pieno</w:t>
      </w:r>
    </w:p>
    <w:p w:rsidR="00F252A3" w:rsidRPr="00484DB6" w:rsidRDefault="00F252A3" w:rsidP="00F252A3">
      <w:pPr>
        <w:numPr>
          <w:ilvl w:val="0"/>
          <w:numId w:val="59"/>
        </w:numPr>
        <w:autoSpaceDE w:val="0"/>
        <w:autoSpaceDN w:val="0"/>
        <w:adjustRightInd w:val="0"/>
        <w:ind w:left="1700" w:hanging="425"/>
        <w:jc w:val="left"/>
        <w:rPr>
          <w:rFonts w:cs="Arial"/>
          <w:sz w:val="20"/>
        </w:rPr>
      </w:pPr>
      <w:r w:rsidRPr="00484DB6">
        <w:rPr>
          <w:rFonts w:cs="Arial"/>
          <w:sz w:val="20"/>
        </w:rPr>
        <w:lastRenderedPageBreak/>
        <w:t>solaio a soletta piena;</w:t>
      </w:r>
    </w:p>
    <w:p w:rsidR="00F252A3" w:rsidRPr="00484DB6" w:rsidRDefault="00F252A3" w:rsidP="00F252A3">
      <w:pPr>
        <w:numPr>
          <w:ilvl w:val="0"/>
          <w:numId w:val="59"/>
        </w:numPr>
        <w:autoSpaceDE w:val="0"/>
        <w:autoSpaceDN w:val="0"/>
        <w:adjustRightInd w:val="0"/>
        <w:ind w:left="1700" w:hanging="425"/>
        <w:jc w:val="left"/>
        <w:rPr>
          <w:rFonts w:cs="Arial"/>
          <w:sz w:val="20"/>
        </w:rPr>
      </w:pPr>
      <w:r w:rsidRPr="00484DB6">
        <w:rPr>
          <w:rFonts w:cs="Arial"/>
          <w:sz w:val="20"/>
        </w:rPr>
        <w:t>solaio nervato;</w:t>
      </w:r>
    </w:p>
    <w:p w:rsidR="00F252A3" w:rsidRPr="00484DB6" w:rsidRDefault="00F252A3" w:rsidP="00F252A3">
      <w:pPr>
        <w:numPr>
          <w:ilvl w:val="0"/>
          <w:numId w:val="59"/>
        </w:numPr>
        <w:autoSpaceDE w:val="0"/>
        <w:autoSpaceDN w:val="0"/>
        <w:adjustRightInd w:val="0"/>
        <w:ind w:left="1700" w:hanging="425"/>
        <w:jc w:val="left"/>
        <w:rPr>
          <w:rFonts w:cs="Arial"/>
        </w:rPr>
      </w:pPr>
      <w:r w:rsidRPr="00484DB6">
        <w:rPr>
          <w:rFonts w:cs="Arial"/>
          <w:sz w:val="20"/>
        </w:rPr>
        <w:t>solaio a fungo;</w:t>
      </w:r>
    </w:p>
    <w:p w:rsidR="00F252A3" w:rsidRPr="00484DB6" w:rsidRDefault="00F252A3" w:rsidP="00F252A3">
      <w:pPr>
        <w:pStyle w:val="Paragrafoelenco"/>
        <w:widowControl w:val="0"/>
        <w:numPr>
          <w:ilvl w:val="0"/>
          <w:numId w:val="56"/>
        </w:numPr>
        <w:autoSpaceDE w:val="0"/>
        <w:autoSpaceDN w:val="0"/>
        <w:adjustRightInd w:val="0"/>
        <w:ind w:left="1068" w:hanging="360"/>
        <w:contextualSpacing/>
        <w:rPr>
          <w:rFonts w:cs="Arial"/>
          <w:sz w:val="20"/>
        </w:rPr>
      </w:pPr>
      <w:r w:rsidRPr="00484DB6">
        <w:rPr>
          <w:rFonts w:cs="Arial"/>
          <w:sz w:val="20"/>
        </w:rPr>
        <w:t>Solai alleggeriti</w:t>
      </w:r>
    </w:p>
    <w:p w:rsidR="00F252A3" w:rsidRPr="00484DB6" w:rsidRDefault="00F252A3" w:rsidP="00F252A3">
      <w:pPr>
        <w:numPr>
          <w:ilvl w:val="0"/>
          <w:numId w:val="58"/>
        </w:numPr>
        <w:autoSpaceDE w:val="0"/>
        <w:autoSpaceDN w:val="0"/>
        <w:adjustRightInd w:val="0"/>
        <w:ind w:left="1700" w:hanging="425"/>
        <w:jc w:val="left"/>
        <w:rPr>
          <w:rFonts w:cs="Arial"/>
          <w:sz w:val="20"/>
        </w:rPr>
      </w:pPr>
      <w:r w:rsidRPr="00484DB6">
        <w:rPr>
          <w:rFonts w:cs="Arial"/>
          <w:sz w:val="20"/>
        </w:rPr>
        <w:t>solaio con getto in opera</w:t>
      </w:r>
    </w:p>
    <w:p w:rsidR="00F252A3" w:rsidRPr="00484DB6" w:rsidRDefault="00F252A3" w:rsidP="00F252A3">
      <w:pPr>
        <w:numPr>
          <w:ilvl w:val="0"/>
          <w:numId w:val="58"/>
        </w:numPr>
        <w:autoSpaceDE w:val="0"/>
        <w:autoSpaceDN w:val="0"/>
        <w:adjustRightInd w:val="0"/>
        <w:ind w:left="1700" w:hanging="425"/>
        <w:jc w:val="left"/>
        <w:rPr>
          <w:rFonts w:cs="Arial"/>
          <w:sz w:val="20"/>
        </w:rPr>
      </w:pPr>
      <w:r w:rsidRPr="00484DB6">
        <w:rPr>
          <w:rFonts w:cs="Arial"/>
          <w:sz w:val="20"/>
        </w:rPr>
        <w:t>solai con travetti prefabbricati</w:t>
      </w:r>
    </w:p>
    <w:p w:rsidR="00F252A3" w:rsidRPr="00484DB6" w:rsidRDefault="00F252A3" w:rsidP="00F252A3">
      <w:pPr>
        <w:numPr>
          <w:ilvl w:val="0"/>
          <w:numId w:val="58"/>
        </w:numPr>
        <w:autoSpaceDE w:val="0"/>
        <w:autoSpaceDN w:val="0"/>
        <w:adjustRightInd w:val="0"/>
        <w:ind w:left="1700" w:hanging="425"/>
        <w:jc w:val="left"/>
        <w:rPr>
          <w:rFonts w:cs="Arial"/>
          <w:sz w:val="20"/>
        </w:rPr>
      </w:pPr>
      <w:r w:rsidRPr="00484DB6">
        <w:rPr>
          <w:rFonts w:cs="Arial"/>
          <w:sz w:val="20"/>
        </w:rPr>
        <w:t>solai in lastre prefabbricate</w:t>
      </w:r>
    </w:p>
    <w:p w:rsidR="00F252A3" w:rsidRPr="00484DB6" w:rsidRDefault="00F252A3" w:rsidP="00F252A3">
      <w:pPr>
        <w:numPr>
          <w:ilvl w:val="0"/>
          <w:numId w:val="58"/>
        </w:numPr>
        <w:autoSpaceDE w:val="0"/>
        <w:autoSpaceDN w:val="0"/>
        <w:adjustRightInd w:val="0"/>
        <w:ind w:left="1700" w:hanging="425"/>
        <w:jc w:val="left"/>
        <w:rPr>
          <w:rFonts w:cs="Arial"/>
          <w:sz w:val="20"/>
        </w:rPr>
      </w:pPr>
      <w:r w:rsidRPr="00484DB6">
        <w:rPr>
          <w:rFonts w:cs="Arial"/>
          <w:sz w:val="20"/>
        </w:rPr>
        <w:t>solai in blocchi di materiale espanso</w:t>
      </w:r>
    </w:p>
    <w:p w:rsidR="00F252A3" w:rsidRPr="00484DB6" w:rsidRDefault="00F252A3" w:rsidP="00F252A3">
      <w:pPr>
        <w:numPr>
          <w:ilvl w:val="0"/>
          <w:numId w:val="58"/>
        </w:numPr>
        <w:autoSpaceDE w:val="0"/>
        <w:autoSpaceDN w:val="0"/>
        <w:adjustRightInd w:val="0"/>
        <w:ind w:left="1700" w:hanging="425"/>
        <w:jc w:val="left"/>
        <w:rPr>
          <w:rFonts w:cs="Arial"/>
        </w:rPr>
      </w:pPr>
      <w:r w:rsidRPr="00484DB6">
        <w:rPr>
          <w:rFonts w:cs="Arial"/>
          <w:sz w:val="20"/>
        </w:rPr>
        <w:t>solai in pannelli prefabbricati</w:t>
      </w:r>
    </w:p>
    <w:p w:rsidR="00F252A3" w:rsidRPr="00484DB6" w:rsidRDefault="00F252A3" w:rsidP="00F252A3">
      <w:pPr>
        <w:pStyle w:val="Paragrafoelenco"/>
        <w:widowControl w:val="0"/>
        <w:numPr>
          <w:ilvl w:val="0"/>
          <w:numId w:val="56"/>
        </w:numPr>
        <w:autoSpaceDE w:val="0"/>
        <w:autoSpaceDN w:val="0"/>
        <w:adjustRightInd w:val="0"/>
        <w:ind w:left="1068" w:hanging="360"/>
        <w:contextualSpacing/>
        <w:rPr>
          <w:rFonts w:cs="Arial"/>
          <w:sz w:val="20"/>
        </w:rPr>
      </w:pPr>
      <w:r w:rsidRPr="00484DB6">
        <w:rPr>
          <w:rFonts w:cs="Arial"/>
          <w:sz w:val="20"/>
        </w:rPr>
        <w:t xml:space="preserve">Solai ad elementi prefabbricati in </w:t>
      </w:r>
      <w:proofErr w:type="spellStart"/>
      <w:r w:rsidRPr="00484DB6">
        <w:rPr>
          <w:rFonts w:cs="Arial"/>
          <w:sz w:val="20"/>
        </w:rPr>
        <w:t>c.a.p.</w:t>
      </w:r>
      <w:proofErr w:type="spellEnd"/>
      <w:r w:rsidRPr="00484DB6">
        <w:rPr>
          <w:rFonts w:cs="Arial"/>
          <w:sz w:val="20"/>
        </w:rPr>
        <w:t xml:space="preserve"> (calcestruzzo armato precompresso)</w:t>
      </w:r>
    </w:p>
    <w:p w:rsidR="00F252A3" w:rsidRPr="00484DB6" w:rsidRDefault="00F252A3" w:rsidP="00F252A3">
      <w:pPr>
        <w:numPr>
          <w:ilvl w:val="0"/>
          <w:numId w:val="57"/>
        </w:numPr>
        <w:autoSpaceDE w:val="0"/>
        <w:autoSpaceDN w:val="0"/>
        <w:adjustRightInd w:val="0"/>
        <w:ind w:left="1700" w:hanging="425"/>
        <w:jc w:val="left"/>
        <w:rPr>
          <w:rFonts w:cs="Arial"/>
          <w:sz w:val="20"/>
        </w:rPr>
      </w:pPr>
      <w:r w:rsidRPr="00484DB6">
        <w:rPr>
          <w:rFonts w:cs="Arial"/>
          <w:sz w:val="20"/>
        </w:rPr>
        <w:t>travi</w:t>
      </w:r>
    </w:p>
    <w:p w:rsidR="00F252A3" w:rsidRPr="00484DB6" w:rsidRDefault="00F252A3" w:rsidP="00F252A3">
      <w:pPr>
        <w:numPr>
          <w:ilvl w:val="0"/>
          <w:numId w:val="57"/>
        </w:numPr>
        <w:autoSpaceDE w:val="0"/>
        <w:autoSpaceDN w:val="0"/>
        <w:adjustRightInd w:val="0"/>
        <w:ind w:left="1700" w:hanging="425"/>
        <w:jc w:val="left"/>
        <w:rPr>
          <w:rFonts w:cs="Arial"/>
        </w:rPr>
      </w:pPr>
      <w:r w:rsidRPr="00484DB6">
        <w:rPr>
          <w:rFonts w:cs="Arial"/>
          <w:sz w:val="20"/>
        </w:rPr>
        <w:t>elementi a sezione sottile</w:t>
      </w:r>
    </w:p>
    <w:p w:rsidR="00F252A3" w:rsidRPr="00484DB6" w:rsidRDefault="00F252A3" w:rsidP="00F252A3">
      <w:pPr>
        <w:ind w:firstLine="284"/>
        <w:rPr>
          <w:rFonts w:cs="Arial"/>
          <w:sz w:val="20"/>
        </w:rPr>
      </w:pPr>
      <w:r w:rsidRPr="00484DB6">
        <w:rPr>
          <w:rFonts w:cs="Arial"/>
          <w:sz w:val="20"/>
        </w:rPr>
        <w:t>Per i solai del tipo 1) valgono integralmente le prescrizioni dell’articolo "Opere e Strutture di Calcestruzzo".</w:t>
      </w:r>
    </w:p>
    <w:p w:rsidR="00F252A3" w:rsidRPr="00484DB6" w:rsidRDefault="00F252A3" w:rsidP="00F252A3">
      <w:pPr>
        <w:ind w:firstLine="284"/>
        <w:rPr>
          <w:rFonts w:cs="Arial"/>
          <w:sz w:val="20"/>
        </w:rPr>
      </w:pPr>
      <w:r w:rsidRPr="00484DB6">
        <w:rPr>
          <w:rFonts w:cs="Arial"/>
          <w:sz w:val="20"/>
        </w:rPr>
        <w:t>I solai del tipo 2) e 3) sono soggetti anche alle norme complementari riportate nei successivi punti.</w:t>
      </w:r>
    </w:p>
    <w:p w:rsidR="00F252A3" w:rsidRPr="00484DB6" w:rsidRDefault="00F252A3" w:rsidP="00F252A3">
      <w:pPr>
        <w:ind w:firstLine="284"/>
        <w:rPr>
          <w:rFonts w:cs="Arial"/>
          <w:sz w:val="20"/>
        </w:rPr>
      </w:pPr>
      <w:r w:rsidRPr="00484DB6">
        <w:rPr>
          <w:rFonts w:cs="Arial"/>
          <w:sz w:val="20"/>
        </w:rPr>
        <w:t>Si precisa che per tutti i solai oggetto di questo paragrafo valgono le prescrizioni già fornite per le opere in calcestruzzo armato e calcestruzzo armato precompresso, ed in particolare valgono le prescrizioni contenute nel D.M. 17 gennaio 2018.</w:t>
      </w:r>
    </w:p>
    <w:p w:rsidR="00F252A3" w:rsidRPr="00484DB6" w:rsidRDefault="00F252A3" w:rsidP="00F252A3">
      <w:pPr>
        <w:ind w:firstLine="284"/>
        <w:rPr>
          <w:rFonts w:cs="Arial"/>
          <w:sz w:val="20"/>
        </w:rPr>
      </w:pPr>
      <w:r w:rsidRPr="00484DB6">
        <w:rPr>
          <w:rFonts w:cs="Arial"/>
          <w:sz w:val="20"/>
        </w:rPr>
        <w:t xml:space="preserve">In riferimento alla resistenza al fuoco i solai, come le coperture, rispondono alla norma </w:t>
      </w:r>
      <w:r w:rsidRPr="00484DB6">
        <w:rPr>
          <w:rFonts w:cs="Arial"/>
          <w:b/>
          <w:sz w:val="20"/>
        </w:rPr>
        <w:t>UNI EN 1365-2</w:t>
      </w:r>
      <w:r w:rsidRPr="00484DB6">
        <w:rPr>
          <w:rFonts w:cs="Arial"/>
          <w:sz w:val="20"/>
        </w:rPr>
        <w:t>.</w:t>
      </w:r>
    </w:p>
    <w:p w:rsidR="00F252A3" w:rsidRPr="00484DB6" w:rsidRDefault="00F252A3" w:rsidP="00F252A3">
      <w:pPr>
        <w:rPr>
          <w:rFonts w:cs="Arial"/>
        </w:rPr>
      </w:pPr>
    </w:p>
    <w:p w:rsidR="00F252A3" w:rsidRPr="00484DB6" w:rsidRDefault="00F252A3" w:rsidP="00F252A3">
      <w:pPr>
        <w:rPr>
          <w:rFonts w:cs="Arial"/>
          <w:b/>
          <w:sz w:val="20"/>
        </w:rPr>
      </w:pPr>
      <w:bookmarkStart w:id="26" w:name="542"/>
      <w:bookmarkEnd w:id="26"/>
      <w:r w:rsidRPr="00484DB6">
        <w:rPr>
          <w:rFonts w:cs="Arial"/>
          <w:b/>
          <w:sz w:val="20"/>
        </w:rPr>
        <w:t>4.6.2.1) Solai in getto pieno</w:t>
      </w:r>
    </w:p>
    <w:p w:rsidR="00F252A3" w:rsidRPr="00484DB6" w:rsidRDefault="00F252A3" w:rsidP="00F252A3">
      <w:pPr>
        <w:rPr>
          <w:rFonts w:cs="Arial"/>
          <w:b/>
          <w:sz w:val="20"/>
        </w:rPr>
      </w:pPr>
    </w:p>
    <w:p w:rsidR="00F252A3" w:rsidRPr="00484DB6" w:rsidRDefault="00F252A3" w:rsidP="00F252A3">
      <w:pPr>
        <w:ind w:firstLine="284"/>
        <w:rPr>
          <w:rFonts w:cs="Arial"/>
          <w:sz w:val="20"/>
        </w:rPr>
      </w:pPr>
      <w:r w:rsidRPr="00484DB6">
        <w:rPr>
          <w:rFonts w:cs="Arial"/>
          <w:sz w:val="20"/>
        </w:rPr>
        <w:t>I solai in getto pieno, costituiti unicamente da calcestruzzo armato, potranno essere realizzati con casseri in opera o riutilizzabili come ad esempio:</w:t>
      </w:r>
    </w:p>
    <w:p w:rsidR="00F252A3" w:rsidRPr="00484DB6" w:rsidRDefault="00F252A3" w:rsidP="00F252A3">
      <w:pPr>
        <w:numPr>
          <w:ilvl w:val="0"/>
          <w:numId w:val="60"/>
        </w:numPr>
        <w:autoSpaceDE w:val="0"/>
        <w:autoSpaceDN w:val="0"/>
        <w:adjustRightInd w:val="0"/>
        <w:ind w:left="425" w:hanging="425"/>
        <w:jc w:val="left"/>
        <w:rPr>
          <w:rFonts w:cs="Arial"/>
          <w:sz w:val="20"/>
        </w:rPr>
      </w:pPr>
      <w:r w:rsidRPr="00484DB6">
        <w:rPr>
          <w:rFonts w:cs="Arial"/>
          <w:sz w:val="20"/>
        </w:rPr>
        <w:t>solaio a soletta piena, in cui devono essere impiegate una casseratura in opera o industrializzata per conformare un solaio-piastra in c.a.;</w:t>
      </w:r>
    </w:p>
    <w:p w:rsidR="00F252A3" w:rsidRPr="00484DB6" w:rsidRDefault="00F252A3" w:rsidP="00F252A3">
      <w:pPr>
        <w:numPr>
          <w:ilvl w:val="0"/>
          <w:numId w:val="60"/>
        </w:numPr>
        <w:autoSpaceDE w:val="0"/>
        <w:autoSpaceDN w:val="0"/>
        <w:adjustRightInd w:val="0"/>
        <w:ind w:left="425" w:hanging="425"/>
        <w:jc w:val="left"/>
        <w:rPr>
          <w:rFonts w:cs="Arial"/>
          <w:sz w:val="20"/>
        </w:rPr>
      </w:pPr>
      <w:r w:rsidRPr="00484DB6">
        <w:rPr>
          <w:rFonts w:cs="Arial"/>
          <w:sz w:val="20"/>
        </w:rPr>
        <w:t xml:space="preserve">solaio di tipo nervato </w:t>
      </w:r>
      <w:proofErr w:type="spellStart"/>
      <w:r w:rsidRPr="00484DB6">
        <w:rPr>
          <w:rFonts w:cs="Arial"/>
          <w:sz w:val="20"/>
        </w:rPr>
        <w:t>bidirezionato</w:t>
      </w:r>
      <w:proofErr w:type="spellEnd"/>
      <w:r w:rsidRPr="00484DB6">
        <w:rPr>
          <w:rFonts w:cs="Arial"/>
          <w:sz w:val="20"/>
        </w:rPr>
        <w:t>, in cui deve essere messo in opera un sistema misto in c.a. e laterizio, o altro materiale, con nervature ordinate nelle due direzioni ortogonali con interasse variabile;</w:t>
      </w:r>
    </w:p>
    <w:p w:rsidR="00F252A3" w:rsidRPr="00484DB6" w:rsidRDefault="00F252A3" w:rsidP="00F252A3">
      <w:pPr>
        <w:numPr>
          <w:ilvl w:val="0"/>
          <w:numId w:val="60"/>
        </w:numPr>
        <w:autoSpaceDE w:val="0"/>
        <w:autoSpaceDN w:val="0"/>
        <w:adjustRightInd w:val="0"/>
        <w:ind w:left="425" w:hanging="425"/>
        <w:jc w:val="left"/>
        <w:rPr>
          <w:rFonts w:cs="Arial"/>
        </w:rPr>
      </w:pPr>
      <w:r w:rsidRPr="00484DB6">
        <w:rPr>
          <w:rFonts w:cs="Arial"/>
          <w:sz w:val="20"/>
        </w:rPr>
        <w:t>solaio a fungo da realizzare come piastre o solai nervati appoggiati per punti con un collegamento diretto fra pilastro e soletta senza la presenza di travi.</w:t>
      </w:r>
    </w:p>
    <w:p w:rsidR="00F252A3" w:rsidRPr="00484DB6" w:rsidRDefault="00F252A3" w:rsidP="00F252A3">
      <w:pPr>
        <w:rPr>
          <w:rFonts w:cs="Arial"/>
        </w:rPr>
      </w:pPr>
    </w:p>
    <w:p w:rsidR="00F252A3" w:rsidRPr="00484DB6" w:rsidRDefault="00F252A3" w:rsidP="00F252A3">
      <w:pPr>
        <w:rPr>
          <w:rFonts w:cs="Arial"/>
          <w:b/>
          <w:sz w:val="20"/>
        </w:rPr>
      </w:pPr>
      <w:bookmarkStart w:id="27" w:name="545"/>
      <w:bookmarkEnd w:id="27"/>
      <w:r w:rsidRPr="00484DB6">
        <w:rPr>
          <w:rFonts w:cs="Arial"/>
          <w:b/>
          <w:sz w:val="20"/>
        </w:rPr>
        <w:t>4.6.3) Solai in acciaio</w:t>
      </w:r>
    </w:p>
    <w:p w:rsidR="00F252A3" w:rsidRPr="00484DB6" w:rsidRDefault="00F252A3" w:rsidP="00F252A3">
      <w:pPr>
        <w:rPr>
          <w:rFonts w:cs="Arial"/>
          <w:b/>
          <w:sz w:val="20"/>
        </w:rPr>
      </w:pPr>
    </w:p>
    <w:p w:rsidR="00F252A3" w:rsidRPr="00484DB6" w:rsidRDefault="00F252A3" w:rsidP="00F252A3">
      <w:pPr>
        <w:ind w:firstLine="284"/>
        <w:rPr>
          <w:rFonts w:cs="Arial"/>
          <w:sz w:val="20"/>
        </w:rPr>
      </w:pPr>
      <w:r w:rsidRPr="00484DB6">
        <w:rPr>
          <w:rFonts w:cs="Arial"/>
          <w:sz w:val="20"/>
        </w:rPr>
        <w:t>Gli impalcati costituiti da sistemi combinati di travi in acciaio, su indicazione progettuale o della Direzione lavori, potranno essere:</w:t>
      </w:r>
    </w:p>
    <w:p w:rsidR="00F252A3" w:rsidRPr="00484DB6" w:rsidRDefault="00F252A3" w:rsidP="00F252A3">
      <w:pPr>
        <w:pStyle w:val="Paragrafoelenco"/>
        <w:widowControl w:val="0"/>
        <w:numPr>
          <w:ilvl w:val="0"/>
          <w:numId w:val="63"/>
        </w:numPr>
        <w:autoSpaceDE w:val="0"/>
        <w:autoSpaceDN w:val="0"/>
        <w:adjustRightInd w:val="0"/>
        <w:ind w:left="720" w:hanging="360"/>
        <w:contextualSpacing/>
        <w:rPr>
          <w:rFonts w:cs="Arial"/>
          <w:sz w:val="20"/>
        </w:rPr>
      </w:pPr>
      <w:r w:rsidRPr="00484DB6">
        <w:rPr>
          <w:rFonts w:cs="Arial"/>
          <w:sz w:val="20"/>
        </w:rPr>
        <w:t>a orditura semplice per luci intorno a 5-7 m, ma può essere prevista per luci maggiori;</w:t>
      </w:r>
    </w:p>
    <w:p w:rsidR="00F252A3" w:rsidRPr="00484DB6" w:rsidRDefault="00F252A3" w:rsidP="00F252A3">
      <w:pPr>
        <w:pStyle w:val="Paragrafoelenco"/>
        <w:widowControl w:val="0"/>
        <w:numPr>
          <w:ilvl w:val="0"/>
          <w:numId w:val="63"/>
        </w:numPr>
        <w:autoSpaceDE w:val="0"/>
        <w:autoSpaceDN w:val="0"/>
        <w:adjustRightInd w:val="0"/>
        <w:ind w:left="720" w:hanging="360"/>
        <w:contextualSpacing/>
        <w:rPr>
          <w:rFonts w:cs="Arial"/>
          <w:sz w:val="20"/>
        </w:rPr>
      </w:pPr>
      <w:r w:rsidRPr="00484DB6">
        <w:rPr>
          <w:rFonts w:cs="Arial"/>
          <w:sz w:val="20"/>
        </w:rPr>
        <w:t>a orditura composta quando gli interassi delle travi, nelle strutture a pilastri, sono maggiori di 1,50-3,00 m;</w:t>
      </w:r>
    </w:p>
    <w:p w:rsidR="00F252A3" w:rsidRPr="00484DB6" w:rsidRDefault="00F252A3" w:rsidP="00F252A3">
      <w:pPr>
        <w:ind w:firstLine="284"/>
        <w:rPr>
          <w:rFonts w:cs="Arial"/>
          <w:sz w:val="20"/>
        </w:rPr>
      </w:pPr>
      <w:r w:rsidRPr="00484DB6">
        <w:rPr>
          <w:rFonts w:cs="Arial"/>
          <w:sz w:val="20"/>
        </w:rPr>
        <w:t>Nelle strutture con pareti portanti, si disporrà l’orditura composta delimitando campi di solaio con travi principali e travi secondarie.</w:t>
      </w:r>
    </w:p>
    <w:p w:rsidR="00F252A3" w:rsidRPr="00484DB6" w:rsidRDefault="00F252A3" w:rsidP="00F252A3">
      <w:pPr>
        <w:ind w:firstLine="284"/>
        <w:rPr>
          <w:rFonts w:cs="Arial"/>
          <w:sz w:val="20"/>
        </w:rPr>
      </w:pPr>
      <w:r w:rsidRPr="00484DB6">
        <w:rPr>
          <w:rFonts w:cs="Arial"/>
          <w:sz w:val="20"/>
        </w:rPr>
        <w:t xml:space="preserve">Tra gli impalcati in acciaio, anche se progettualmente non indicato, si potranno realizzare le seguenti tipologie che associano alle travi altri elementi edilizi: </w:t>
      </w:r>
    </w:p>
    <w:p w:rsidR="00F252A3" w:rsidRPr="00484DB6" w:rsidRDefault="00F252A3" w:rsidP="00F252A3">
      <w:pPr>
        <w:pStyle w:val="Paragrafoelenco"/>
        <w:widowControl w:val="0"/>
        <w:numPr>
          <w:ilvl w:val="0"/>
          <w:numId w:val="63"/>
        </w:numPr>
        <w:autoSpaceDE w:val="0"/>
        <w:autoSpaceDN w:val="0"/>
        <w:adjustRightInd w:val="0"/>
        <w:ind w:left="720" w:hanging="360"/>
        <w:contextualSpacing/>
        <w:rPr>
          <w:rFonts w:cs="Arial"/>
          <w:sz w:val="20"/>
        </w:rPr>
      </w:pPr>
      <w:r w:rsidRPr="00484DB6">
        <w:rPr>
          <w:rFonts w:cs="Arial"/>
          <w:sz w:val="20"/>
        </w:rPr>
        <w:t>Solai misti (con profilati ed elementi di alleggerimento curvi o piani);</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con voltine;</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in volterrane;</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con tavelloni piani;</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con soletta piena in c.a.;</w:t>
      </w:r>
    </w:p>
    <w:p w:rsidR="00F252A3" w:rsidRPr="00484DB6" w:rsidRDefault="00F252A3" w:rsidP="00F252A3">
      <w:pPr>
        <w:pStyle w:val="Paragrafoelenco"/>
        <w:widowControl w:val="0"/>
        <w:numPr>
          <w:ilvl w:val="0"/>
          <w:numId w:val="63"/>
        </w:numPr>
        <w:autoSpaceDE w:val="0"/>
        <w:autoSpaceDN w:val="0"/>
        <w:adjustRightInd w:val="0"/>
        <w:ind w:left="720" w:hanging="360"/>
        <w:contextualSpacing/>
        <w:rPr>
          <w:rFonts w:cs="Arial"/>
          <w:sz w:val="20"/>
        </w:rPr>
      </w:pPr>
      <w:r w:rsidRPr="00484DB6">
        <w:rPr>
          <w:rFonts w:cs="Arial"/>
          <w:sz w:val="20"/>
        </w:rPr>
        <w:t>Solai in lamiera grecata;</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in lamiera grecata collaborante;</w:t>
      </w:r>
    </w:p>
    <w:p w:rsidR="00F252A3" w:rsidRPr="00484DB6" w:rsidRDefault="00F252A3" w:rsidP="00F252A3">
      <w:pPr>
        <w:pStyle w:val="Paragrafoelenco"/>
        <w:widowControl w:val="0"/>
        <w:numPr>
          <w:ilvl w:val="1"/>
          <w:numId w:val="64"/>
        </w:numPr>
        <w:autoSpaceDE w:val="0"/>
        <w:autoSpaceDN w:val="0"/>
        <w:adjustRightInd w:val="0"/>
        <w:ind w:left="993" w:hanging="142"/>
        <w:contextualSpacing/>
        <w:rPr>
          <w:rFonts w:cs="Arial"/>
          <w:sz w:val="20"/>
        </w:rPr>
      </w:pPr>
      <w:r w:rsidRPr="00484DB6">
        <w:rPr>
          <w:rFonts w:cs="Arial"/>
          <w:sz w:val="20"/>
        </w:rPr>
        <w:t>Solai in lamiera grecata portante.</w:t>
      </w:r>
    </w:p>
    <w:p w:rsidR="00F252A3" w:rsidRPr="00484DB6" w:rsidRDefault="00F252A3" w:rsidP="00F252A3">
      <w:pPr>
        <w:ind w:firstLine="284"/>
        <w:rPr>
          <w:rFonts w:cs="Arial"/>
          <w:sz w:val="20"/>
        </w:rPr>
      </w:pPr>
      <w:r w:rsidRPr="00484DB6">
        <w:rPr>
          <w:rFonts w:cs="Arial"/>
          <w:sz w:val="20"/>
        </w:rPr>
        <w:t xml:space="preserve">La scelta dell’acciaio da costruzione è normata dal D.M. 17 gennaio 2018 (capitolo 4.2 e 11.3) con riferimento alla Norma armonizzata </w:t>
      </w:r>
      <w:r w:rsidRPr="00484DB6">
        <w:rPr>
          <w:rFonts w:cs="Arial"/>
          <w:b/>
          <w:sz w:val="20"/>
        </w:rPr>
        <w:t>UNI EN 1090</w:t>
      </w:r>
      <w:r w:rsidRPr="00484DB6">
        <w:rPr>
          <w:rFonts w:cs="Arial"/>
          <w:sz w:val="20"/>
        </w:rPr>
        <w:t>.</w:t>
      </w:r>
    </w:p>
    <w:p w:rsidR="00F252A3" w:rsidRPr="00484DB6" w:rsidRDefault="00F252A3" w:rsidP="00F252A3">
      <w:pPr>
        <w:ind w:firstLine="284"/>
        <w:rPr>
          <w:rFonts w:cs="Arial"/>
          <w:sz w:val="20"/>
        </w:rPr>
      </w:pPr>
      <w:r w:rsidRPr="00484DB6">
        <w:rPr>
          <w:rFonts w:cs="Arial"/>
          <w:sz w:val="20"/>
        </w:rPr>
        <w:t xml:space="preserve">Per i "Prodotti laminati a caldo di acciai per impieghi strutturali" il riferimento è la </w:t>
      </w:r>
      <w:r w:rsidRPr="00484DB6">
        <w:rPr>
          <w:rFonts w:cs="Arial"/>
          <w:b/>
          <w:sz w:val="20"/>
        </w:rPr>
        <w:t>UNI EN 10025</w:t>
      </w:r>
      <w:r w:rsidRPr="00484DB6">
        <w:rPr>
          <w:rFonts w:cs="Arial"/>
          <w:sz w:val="20"/>
        </w:rPr>
        <w:t>, che classifica le tensioni caratteristiche degli acciai in funzione degli usi specifichi e particolari che verranno adottati.</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SOLAI MISTI</w:t>
      </w:r>
    </w:p>
    <w:p w:rsidR="00F252A3" w:rsidRPr="00484DB6" w:rsidRDefault="00F252A3" w:rsidP="00F252A3">
      <w:pPr>
        <w:ind w:firstLine="284"/>
        <w:rPr>
          <w:rFonts w:cs="Arial"/>
          <w:sz w:val="20"/>
        </w:rPr>
      </w:pPr>
      <w:r w:rsidRPr="00484DB6">
        <w:rPr>
          <w:rFonts w:cs="Arial"/>
          <w:sz w:val="20"/>
        </w:rPr>
        <w:lastRenderedPageBreak/>
        <w:t>Per i solai misti si dovranno combinare, insieme all’orditura di travi principali poste a un interasse di 80-100 cm:</w:t>
      </w:r>
    </w:p>
    <w:p w:rsidR="00F252A3" w:rsidRPr="00484DB6" w:rsidRDefault="00F252A3" w:rsidP="00F252A3">
      <w:pPr>
        <w:pStyle w:val="Paragrafoelenco"/>
        <w:widowControl w:val="0"/>
        <w:numPr>
          <w:ilvl w:val="0"/>
          <w:numId w:val="61"/>
        </w:numPr>
        <w:autoSpaceDE w:val="0"/>
        <w:autoSpaceDN w:val="0"/>
        <w:adjustRightInd w:val="0"/>
        <w:ind w:left="720" w:hanging="360"/>
        <w:contextualSpacing/>
        <w:rPr>
          <w:rFonts w:cs="Arial"/>
          <w:sz w:val="20"/>
        </w:rPr>
      </w:pPr>
      <w:r w:rsidRPr="00484DB6">
        <w:rPr>
          <w:rFonts w:cs="Arial"/>
          <w:sz w:val="20"/>
        </w:rPr>
        <w:t>elementi strutturali in acciaio;</w:t>
      </w:r>
    </w:p>
    <w:p w:rsidR="00F252A3" w:rsidRPr="00484DB6" w:rsidRDefault="00F252A3" w:rsidP="00F252A3">
      <w:pPr>
        <w:pStyle w:val="Paragrafoelenco"/>
        <w:widowControl w:val="0"/>
        <w:numPr>
          <w:ilvl w:val="0"/>
          <w:numId w:val="61"/>
        </w:numPr>
        <w:autoSpaceDE w:val="0"/>
        <w:autoSpaceDN w:val="0"/>
        <w:adjustRightInd w:val="0"/>
        <w:ind w:left="720" w:hanging="360"/>
        <w:contextualSpacing/>
        <w:rPr>
          <w:rFonts w:cs="Arial"/>
          <w:sz w:val="20"/>
        </w:rPr>
      </w:pPr>
      <w:r w:rsidRPr="00484DB6">
        <w:rPr>
          <w:rFonts w:cs="Arial"/>
          <w:sz w:val="20"/>
        </w:rPr>
        <w:t>elementi strutturali principali o secondari in c.a. o laterizio.</w:t>
      </w:r>
    </w:p>
    <w:p w:rsidR="00F252A3" w:rsidRPr="00484DB6" w:rsidRDefault="00F252A3" w:rsidP="00F252A3">
      <w:pPr>
        <w:ind w:firstLine="284"/>
        <w:rPr>
          <w:rFonts w:cs="Arial"/>
          <w:sz w:val="20"/>
        </w:rPr>
      </w:pPr>
      <w:r w:rsidRPr="00484DB6">
        <w:rPr>
          <w:rFonts w:cs="Arial"/>
          <w:sz w:val="20"/>
        </w:rPr>
        <w:t>Per il riempimento degli spazi tra le travi saranno utilizzati elementi di alleggerimento piani, come tavelloni poggiati sulle ali superiori, o su quelle inferiori o, anche, con doppio tavellone poggiante su entrambe le ali.</w:t>
      </w:r>
    </w:p>
    <w:p w:rsidR="00F252A3" w:rsidRPr="00484DB6" w:rsidRDefault="00F252A3" w:rsidP="00F252A3">
      <w:pPr>
        <w:ind w:firstLine="284"/>
        <w:rPr>
          <w:rFonts w:cs="Arial"/>
          <w:sz w:val="20"/>
        </w:rPr>
      </w:pPr>
      <w:r w:rsidRPr="00484DB6">
        <w:rPr>
          <w:rFonts w:cs="Arial"/>
          <w:sz w:val="20"/>
        </w:rPr>
        <w:t>Su indicazione progettuale o della Direzione lavori, il riempimento potrà essere realizzato con una soletta piena in c.a. all’estradosso delle travi.</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 xml:space="preserve">Solai con profilati ed elementi di alleggerimento curvi o piani </w:t>
      </w:r>
    </w:p>
    <w:p w:rsidR="00F252A3" w:rsidRPr="00484DB6" w:rsidRDefault="00F252A3" w:rsidP="00F252A3">
      <w:pPr>
        <w:ind w:firstLine="284"/>
        <w:rPr>
          <w:rFonts w:cs="Arial"/>
          <w:sz w:val="20"/>
        </w:rPr>
      </w:pPr>
      <w:r w:rsidRPr="00484DB6">
        <w:rPr>
          <w:rFonts w:cs="Arial"/>
          <w:sz w:val="20"/>
        </w:rPr>
        <w:t>I solai in ferro con elementi di alleggerimento rappresentati da voltine in mattoni o in volterrane, avranno le travi delle dimensioni previste nel progetto o collocate alla distanza prescritta; in ogni caso tale distanza non sarà superiore ad 1 m. Prima della messa in opera dovranno essere protette con trattamento anticorrosivo e forate per l’applicazione delle chiavi, dei tiranti e dei tondini di armatura delle piattabande.</w:t>
      </w:r>
    </w:p>
    <w:p w:rsidR="00F252A3" w:rsidRPr="00484DB6" w:rsidRDefault="00F252A3" w:rsidP="00F252A3">
      <w:pPr>
        <w:ind w:firstLine="284"/>
        <w:rPr>
          <w:rFonts w:cs="Arial"/>
          <w:sz w:val="20"/>
        </w:rPr>
      </w:pPr>
      <w:r w:rsidRPr="00484DB6">
        <w:rPr>
          <w:rFonts w:cs="Arial"/>
          <w:sz w:val="20"/>
        </w:rPr>
        <w:t>Le chiavi saranno applicate agli estremi delle travi alternativamente (e cioè una con le chiavi e la successiva senza), ed i tiranti trasversali, per le travi lunghe più di 5 m, a distanza non maggiore di 2,50 m.</w:t>
      </w:r>
    </w:p>
    <w:p w:rsidR="00F252A3" w:rsidRPr="00484DB6" w:rsidRDefault="00F252A3" w:rsidP="00F252A3">
      <w:pPr>
        <w:ind w:firstLine="284"/>
        <w:rPr>
          <w:rFonts w:cs="Arial"/>
          <w:sz w:val="20"/>
        </w:rPr>
      </w:pPr>
      <w:r w:rsidRPr="00484DB6">
        <w:rPr>
          <w:rFonts w:cs="Arial"/>
          <w:sz w:val="20"/>
        </w:rPr>
        <w:t xml:space="preserve">Per i </w:t>
      </w:r>
      <w:r w:rsidRPr="00484DB6">
        <w:rPr>
          <w:rFonts w:cs="Arial"/>
          <w:b/>
          <w:sz w:val="20"/>
        </w:rPr>
        <w:t>solai con voltine</w:t>
      </w:r>
      <w:r w:rsidRPr="00484DB6">
        <w:rPr>
          <w:rFonts w:cs="Arial"/>
          <w:sz w:val="20"/>
        </w:rPr>
        <w:t xml:space="preserve"> i mattoni pieni saranno disposti a una testa in foglio tra gli interassi delle travi pari a 100/120 cm, per sopportare sovraccarichi medio-alti. Le voltine di mattoni pieni o forati saranno eseguite ad una testa in malta comune od in foglio con malta di cemento a rapida presa, con una freccia variabile fra 5 e 10 cm. Quando la freccia è superiore ai 5 cm dovranno intercalarsi fra i mattoni delle voltine delle grappe di ferro per meglio assicurare l’aderenza della malta di riempimento dell’intradosso. $MANUAL$</w:t>
      </w:r>
    </w:p>
    <w:p w:rsidR="00F252A3" w:rsidRPr="00484DB6" w:rsidRDefault="00F252A3" w:rsidP="00F252A3">
      <w:pPr>
        <w:ind w:firstLine="284"/>
        <w:rPr>
          <w:rFonts w:cs="Arial"/>
          <w:sz w:val="20"/>
        </w:rPr>
      </w:pPr>
      <w:r w:rsidRPr="00484DB6">
        <w:rPr>
          <w:rFonts w:cs="Arial"/>
          <w:sz w:val="20"/>
        </w:rPr>
        <w:t xml:space="preserve">I </w:t>
      </w:r>
      <w:r w:rsidRPr="00484DB6">
        <w:rPr>
          <w:rFonts w:cs="Arial"/>
          <w:b/>
          <w:sz w:val="20"/>
        </w:rPr>
        <w:t>solai in volterrane</w:t>
      </w:r>
      <w:r w:rsidRPr="00484DB6">
        <w:rPr>
          <w:rFonts w:cs="Arial"/>
          <w:sz w:val="20"/>
        </w:rPr>
        <w:t xml:space="preserve"> prevedono generalmente interassi travi 90/100 cm per reggere sovraccarichi medio-bassi. Le volterrane sono conci laterizi coordinati che si reggono per mutuo contrasto e sono conformati con estradosso arcuato e intradosso piano. Il minimo di rinfianco sarà realizzato con </w:t>
      </w:r>
      <w:proofErr w:type="spellStart"/>
      <w:r w:rsidRPr="00484DB6">
        <w:rPr>
          <w:rFonts w:cs="Arial"/>
          <w:sz w:val="20"/>
        </w:rPr>
        <w:t>cretoni</w:t>
      </w:r>
      <w:proofErr w:type="spellEnd"/>
      <w:r w:rsidRPr="00484DB6">
        <w:rPr>
          <w:rFonts w:cs="Arial"/>
          <w:sz w:val="20"/>
        </w:rPr>
        <w:t xml:space="preserve"> di pozzolana e calce (</w:t>
      </w:r>
      <w:proofErr w:type="spellStart"/>
      <w:r w:rsidRPr="00484DB6">
        <w:rPr>
          <w:rFonts w:cs="Arial"/>
          <w:sz w:val="20"/>
        </w:rPr>
        <w:t>cretonato</w:t>
      </w:r>
      <w:proofErr w:type="spellEnd"/>
      <w:r w:rsidRPr="00484DB6">
        <w:rPr>
          <w:rFonts w:cs="Arial"/>
          <w:sz w:val="20"/>
        </w:rPr>
        <w:t>) per renderli più leggeri dei solai a voltine.</w:t>
      </w:r>
    </w:p>
    <w:p w:rsidR="00F252A3" w:rsidRPr="00484DB6" w:rsidRDefault="00F252A3" w:rsidP="00F252A3">
      <w:pPr>
        <w:ind w:firstLine="284"/>
        <w:rPr>
          <w:rFonts w:cs="Arial"/>
          <w:sz w:val="20"/>
        </w:rPr>
      </w:pPr>
      <w:r w:rsidRPr="00484DB6">
        <w:rPr>
          <w:rFonts w:cs="Arial"/>
          <w:sz w:val="20"/>
        </w:rPr>
        <w:t xml:space="preserve">I </w:t>
      </w:r>
      <w:r w:rsidRPr="00484DB6">
        <w:rPr>
          <w:rFonts w:cs="Arial"/>
          <w:b/>
          <w:sz w:val="20"/>
        </w:rPr>
        <w:t>solai con tavelloni piani</w:t>
      </w:r>
      <w:r w:rsidRPr="00484DB6">
        <w:rPr>
          <w:rFonts w:cs="Arial"/>
          <w:sz w:val="20"/>
        </w:rPr>
        <w:t xml:space="preserve"> saranno realizzati con un solo tavellone (sovrapposto all’ala superiore oppure sull’ala inferiore), o con due tavelloni (disposti sulle due ali). Gli interassi dell’orditura portante potranno essere variati in funzione delle condizioni di carico e delle dimensioni dei tavelloni che, in genere, sono profondi 25 cm, alti da 6 a 10 cm e larghi da 60 a 120 cm.</w:t>
      </w:r>
    </w:p>
    <w:p w:rsidR="00F252A3" w:rsidRPr="00484DB6" w:rsidRDefault="00F252A3" w:rsidP="00F252A3">
      <w:pPr>
        <w:ind w:firstLine="284"/>
        <w:rPr>
          <w:rFonts w:cs="Arial"/>
          <w:sz w:val="20"/>
        </w:rPr>
      </w:pPr>
      <w:r w:rsidRPr="00484DB6">
        <w:rPr>
          <w:rFonts w:cs="Arial"/>
          <w:sz w:val="20"/>
        </w:rPr>
        <w:t>I tavelloni e le volterrane saranno appoggiati ai profilati coperti da un copriferro in laterizio, al fine di evitare incrinature nell’intonaco del soffitto in corrispondenza dell’intradosso dell’ala inferiore.</w:t>
      </w:r>
    </w:p>
    <w:p w:rsidR="00F252A3" w:rsidRPr="00484DB6" w:rsidRDefault="00F252A3" w:rsidP="00F252A3">
      <w:pPr>
        <w:ind w:firstLine="284"/>
        <w:rPr>
          <w:rFonts w:cs="Arial"/>
          <w:sz w:val="20"/>
        </w:rPr>
      </w:pPr>
      <w:r w:rsidRPr="00484DB6">
        <w:rPr>
          <w:rFonts w:cs="Arial"/>
          <w:sz w:val="20"/>
        </w:rPr>
        <w:t>Le voltine di mattoni, le volterrane ed i tavelloni, saranno poi ricoperti sino all’altezza dell’ala superiore della trave e dell’estradosso delle voltine e volterrane, se più alto, con scoria leggera di fornace o pietra pomice o altri inerti leggeri impastati con malta magra fino ad intasamento completo. Se, su indicazione progettuale o della Direzione lavori, il riempimento viene effettuato in calcestruzzo, si verificherà la collaborazione fra il profilato metallico e il resto del solaio.</w:t>
      </w:r>
    </w:p>
    <w:p w:rsidR="00F252A3" w:rsidRPr="00484DB6" w:rsidRDefault="00F252A3" w:rsidP="00F252A3">
      <w:pPr>
        <w:ind w:firstLine="284"/>
        <w:rPr>
          <w:rFonts w:cs="Arial"/>
          <w:sz w:val="20"/>
        </w:rPr>
      </w:pPr>
      <w:r w:rsidRPr="00484DB6">
        <w:rPr>
          <w:rFonts w:cs="Arial"/>
          <w:sz w:val="20"/>
        </w:rPr>
        <w:t>Qualora la faccia inferiore dei tavelloni o volterrane debba essere intonacata, sarà opportuno applicarvi, preventivamente, uno strato di malta cementizia ad evitare eventuali distacchi dall’intonaco stesso.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Solai con profilati e soletta piena in c.a.</w:t>
      </w:r>
    </w:p>
    <w:p w:rsidR="00F252A3" w:rsidRPr="00484DB6" w:rsidRDefault="00F252A3" w:rsidP="00F252A3">
      <w:pPr>
        <w:ind w:firstLine="284"/>
        <w:rPr>
          <w:rFonts w:cs="Arial"/>
          <w:sz w:val="20"/>
        </w:rPr>
      </w:pPr>
      <w:r w:rsidRPr="00484DB6">
        <w:rPr>
          <w:rFonts w:cs="Arial"/>
          <w:sz w:val="20"/>
        </w:rPr>
        <w:t>Le travi in acciaio, poste con idoneo interasse, sosterranno una soletta in c.a. collegata ad esse con pioli saldati o bullonati all’ala superiore della trave. Dopo aver allestito una cassaforma poggiante sull’ala inferiore del profilato metallico, la soletta, armata con rete metallica a maglia quadrata, verrà gettata in opera. Nel caso di utilizzo di pannelli prefabbricati in c.a. in sostituzione della soletta in opera, questi devono essere imbullonati sulle travi di acciaio con il giunto ortogonale o corrispondente all’asse delle travi.</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Solai in lamiera grecata</w:t>
      </w:r>
    </w:p>
    <w:p w:rsidR="00F252A3" w:rsidRPr="00484DB6" w:rsidRDefault="00F252A3" w:rsidP="00F252A3">
      <w:pPr>
        <w:ind w:firstLine="284"/>
        <w:rPr>
          <w:rFonts w:cs="Arial"/>
          <w:sz w:val="20"/>
        </w:rPr>
      </w:pPr>
      <w:r w:rsidRPr="00484DB6">
        <w:rPr>
          <w:rFonts w:cs="Arial"/>
          <w:sz w:val="20"/>
        </w:rPr>
        <w:t>I solai saranno messi in opera con una lamiera grecata zincata poggiante su un’orditura secondaria con interasse variabile. Il montaggio avverrà a secco, sovrapponendo i lembi esterni di due lamiere contigue e fissandoli alle travi sottostanti con viti autofilettanti, barrette filettate o con punti di saldatura a elettrodo perforante.</w:t>
      </w:r>
    </w:p>
    <w:p w:rsidR="00F252A3" w:rsidRPr="00484DB6" w:rsidRDefault="00F252A3" w:rsidP="00F252A3">
      <w:pPr>
        <w:ind w:firstLine="284"/>
        <w:rPr>
          <w:rFonts w:cs="Arial"/>
          <w:sz w:val="20"/>
        </w:rPr>
      </w:pPr>
      <w:r w:rsidRPr="00484DB6">
        <w:rPr>
          <w:rFonts w:cs="Arial"/>
          <w:sz w:val="20"/>
        </w:rPr>
        <w:t>Le lamiere grecate, incorporate nello spessore del solaio o sovrapposte alla struttura portante orizzontale, avranno, salvo diversa indicazione progettuale, le seguenti dimensioni:</w:t>
      </w:r>
    </w:p>
    <w:p w:rsidR="00F252A3" w:rsidRPr="00484DB6" w:rsidRDefault="00F252A3" w:rsidP="00F252A3">
      <w:pPr>
        <w:pStyle w:val="Paragrafoelenco"/>
        <w:widowControl w:val="0"/>
        <w:numPr>
          <w:ilvl w:val="0"/>
          <w:numId w:val="62"/>
        </w:numPr>
        <w:autoSpaceDE w:val="0"/>
        <w:autoSpaceDN w:val="0"/>
        <w:adjustRightInd w:val="0"/>
        <w:ind w:left="720" w:hanging="360"/>
        <w:contextualSpacing/>
        <w:rPr>
          <w:rFonts w:cs="Arial"/>
          <w:sz w:val="20"/>
        </w:rPr>
      </w:pPr>
      <w:r w:rsidRPr="00484DB6">
        <w:rPr>
          <w:rFonts w:cs="Arial"/>
          <w:sz w:val="20"/>
        </w:rPr>
        <w:t>altezza variabile fra 15 mm e 90 mm circa;</w:t>
      </w:r>
    </w:p>
    <w:p w:rsidR="00F252A3" w:rsidRPr="00484DB6" w:rsidRDefault="00F252A3" w:rsidP="00F252A3">
      <w:pPr>
        <w:pStyle w:val="Paragrafoelenco"/>
        <w:widowControl w:val="0"/>
        <w:numPr>
          <w:ilvl w:val="0"/>
          <w:numId w:val="62"/>
        </w:numPr>
        <w:autoSpaceDE w:val="0"/>
        <w:autoSpaceDN w:val="0"/>
        <w:adjustRightInd w:val="0"/>
        <w:ind w:left="720" w:hanging="360"/>
        <w:contextualSpacing/>
        <w:rPr>
          <w:rFonts w:cs="Arial"/>
          <w:sz w:val="20"/>
        </w:rPr>
      </w:pPr>
      <w:r w:rsidRPr="00484DB6">
        <w:rPr>
          <w:rFonts w:cs="Arial"/>
          <w:sz w:val="20"/>
        </w:rPr>
        <w:lastRenderedPageBreak/>
        <w:t>larghezza variabile da 0,60 m a 1,00 m circa;</w:t>
      </w:r>
    </w:p>
    <w:p w:rsidR="00F252A3" w:rsidRPr="00484DB6" w:rsidRDefault="00F252A3" w:rsidP="00F252A3">
      <w:pPr>
        <w:pStyle w:val="Paragrafoelenco"/>
        <w:widowControl w:val="0"/>
        <w:numPr>
          <w:ilvl w:val="0"/>
          <w:numId w:val="62"/>
        </w:numPr>
        <w:autoSpaceDE w:val="0"/>
        <w:autoSpaceDN w:val="0"/>
        <w:adjustRightInd w:val="0"/>
        <w:ind w:left="720" w:hanging="360"/>
        <w:contextualSpacing/>
        <w:rPr>
          <w:rFonts w:cs="Arial"/>
          <w:sz w:val="20"/>
        </w:rPr>
      </w:pPr>
      <w:r w:rsidRPr="00484DB6">
        <w:rPr>
          <w:rFonts w:cs="Arial"/>
          <w:sz w:val="20"/>
        </w:rPr>
        <w:t>lunghezza da 1 ,50 m fino a 12-14 m.</w:t>
      </w:r>
    </w:p>
    <w:p w:rsidR="00F252A3" w:rsidRPr="00484DB6" w:rsidRDefault="00F252A3" w:rsidP="00F252A3">
      <w:pPr>
        <w:ind w:firstLine="284"/>
        <w:rPr>
          <w:rFonts w:cs="Arial"/>
          <w:sz w:val="20"/>
        </w:rPr>
      </w:pPr>
      <w:r w:rsidRPr="00484DB6">
        <w:rPr>
          <w:rFonts w:cs="Arial"/>
          <w:sz w:val="20"/>
        </w:rPr>
        <w:t>Le lamiere di terza generazione, utilizzate per coprire luci fino a un massimo di 12 m senza orditura secondaria, avranno la forma base trapezoidale, che potrà essere piana, con anima e ali irrigidite o irrigidita trasversalmente e longitudinalmente.</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Solai in lamiera grecata collaborante</w:t>
      </w:r>
    </w:p>
    <w:p w:rsidR="00F252A3" w:rsidRPr="00484DB6" w:rsidRDefault="00F252A3" w:rsidP="00F252A3">
      <w:pPr>
        <w:ind w:firstLine="284"/>
        <w:rPr>
          <w:rFonts w:cs="Arial"/>
          <w:sz w:val="20"/>
        </w:rPr>
      </w:pPr>
      <w:r w:rsidRPr="00484DB6">
        <w:rPr>
          <w:rFonts w:cs="Arial"/>
          <w:sz w:val="20"/>
        </w:rPr>
        <w:t>Per la realizzazione di un solaio in lamiera grecata collaborante, caratterizzate da bugnature sulle costole delle gole per garantire l’</w:t>
      </w:r>
      <w:proofErr w:type="spellStart"/>
      <w:r w:rsidRPr="00484DB6">
        <w:rPr>
          <w:rFonts w:cs="Arial"/>
          <w:sz w:val="20"/>
        </w:rPr>
        <w:t>aggrappaggio</w:t>
      </w:r>
      <w:proofErr w:type="spellEnd"/>
      <w:r w:rsidRPr="00484DB6">
        <w:rPr>
          <w:rFonts w:cs="Arial"/>
          <w:sz w:val="20"/>
        </w:rPr>
        <w:t xml:space="preserve"> del calcestruzzo, sarà previsto un getto di completamento in calcestruzzo di spessore medio di 4 cm e al di sopra della lamiera, armato con rete metallica ancorata alla lamiera. </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Solai in lamiera grecata portante</w:t>
      </w:r>
    </w:p>
    <w:p w:rsidR="00F252A3" w:rsidRPr="007F3291" w:rsidRDefault="00F252A3" w:rsidP="007F3291">
      <w:pPr>
        <w:ind w:firstLine="284"/>
        <w:rPr>
          <w:rFonts w:cs="Arial"/>
          <w:sz w:val="20"/>
        </w:rPr>
      </w:pPr>
      <w:r w:rsidRPr="00484DB6">
        <w:rPr>
          <w:rFonts w:cs="Arial"/>
          <w:sz w:val="20"/>
        </w:rPr>
        <w:t>I solai in lamiera portante possono essere in lamiera semplice o doppia, ottenuta mediante il fissaggio reciproco di due lamiere grecate contrapposte. La lamiera portante sarà messa in opera priva del getto integrativo di conglomerato cementizio, consentendo possibili modifiche o interventi di qualsiasi tipo quali tagli, aggiunte o rinforzi, per adattare il solaio alle esigenze che di volta in volta si possono presentare.</w:t>
      </w:r>
    </w:p>
    <w:p w:rsidR="007F3291" w:rsidRDefault="007F3291" w:rsidP="00F252A3">
      <w:pPr>
        <w:jc w:val="center"/>
        <w:rPr>
          <w:rFonts w:cs="Arial"/>
          <w:vanish/>
          <w:sz w:val="14"/>
        </w:rPr>
      </w:pPr>
    </w:p>
    <w:p w:rsidR="00F252A3" w:rsidRPr="00484DB6" w:rsidRDefault="00F252A3" w:rsidP="00F252A3">
      <w:pPr>
        <w:jc w:val="center"/>
        <w:rPr>
          <w:rFonts w:cs="Arial"/>
          <w:sz w:val="20"/>
        </w:rPr>
      </w:pPr>
      <w:r w:rsidRPr="00484DB6">
        <w:rPr>
          <w:rFonts w:cs="Arial"/>
          <w:b/>
          <w:sz w:val="20"/>
        </w:rPr>
        <w:t>Art. 4.7</w:t>
      </w:r>
    </w:p>
    <w:p w:rsidR="00F252A3" w:rsidRPr="00484DB6" w:rsidRDefault="00F252A3" w:rsidP="00F252A3">
      <w:pPr>
        <w:jc w:val="center"/>
        <w:rPr>
          <w:rFonts w:cs="Arial"/>
          <w:b/>
          <w:sz w:val="20"/>
        </w:rPr>
      </w:pPr>
      <w:r w:rsidRPr="00484DB6">
        <w:rPr>
          <w:rFonts w:cs="Arial"/>
          <w:b/>
          <w:sz w:val="20"/>
        </w:rPr>
        <w:t>STRUTTURE IN ACCIAIO</w:t>
      </w:r>
    </w:p>
    <w:p w:rsidR="007F3291" w:rsidRDefault="007F3291" w:rsidP="00F252A3">
      <w:pPr>
        <w:rPr>
          <w:rFonts w:cs="Arial"/>
          <w:vanish/>
          <w:sz w:val="14"/>
        </w:rPr>
      </w:pPr>
    </w:p>
    <w:p w:rsidR="00F252A3" w:rsidRPr="00484DB6" w:rsidRDefault="00F252A3" w:rsidP="00F252A3">
      <w:pPr>
        <w:rPr>
          <w:rFonts w:cs="Arial"/>
          <w:b/>
          <w:sz w:val="20"/>
        </w:rPr>
      </w:pPr>
      <w:r w:rsidRPr="00484DB6">
        <w:rPr>
          <w:rFonts w:cs="Arial"/>
          <w:b/>
          <w:sz w:val="20"/>
        </w:rPr>
        <w:t>4.7.1) Generalità</w:t>
      </w:r>
    </w:p>
    <w:p w:rsidR="00F252A3" w:rsidRPr="00484DB6" w:rsidRDefault="00F252A3" w:rsidP="00F252A3">
      <w:pPr>
        <w:rPr>
          <w:rFonts w:cs="Arial"/>
          <w:b/>
          <w:sz w:val="20"/>
        </w:rPr>
      </w:pPr>
    </w:p>
    <w:p w:rsidR="00F252A3" w:rsidRPr="00484DB6" w:rsidRDefault="00F252A3" w:rsidP="00F252A3">
      <w:pPr>
        <w:ind w:firstLine="284"/>
        <w:rPr>
          <w:rFonts w:cs="Arial"/>
          <w:sz w:val="20"/>
        </w:rPr>
      </w:pPr>
      <w:r w:rsidRPr="00484DB6">
        <w:rPr>
          <w:rFonts w:cs="Arial"/>
          <w:sz w:val="20"/>
        </w:rPr>
        <w:t xml:space="preserve">Le strutture di acciaio dovranno essere progettate e costruite tenendo conto di quanto disposto dal d.P.R. 380/2001 e </w:t>
      </w:r>
      <w:proofErr w:type="spellStart"/>
      <w:r w:rsidRPr="00484DB6">
        <w:rPr>
          <w:rFonts w:cs="Arial"/>
          <w:sz w:val="20"/>
        </w:rPr>
        <w:t>s.m.i.</w:t>
      </w:r>
      <w:proofErr w:type="spellEnd"/>
      <w:r w:rsidRPr="00484DB6">
        <w:rPr>
          <w:rFonts w:cs="Arial"/>
          <w:sz w:val="20"/>
        </w:rPr>
        <w:t xml:space="preserve">, dal D.M. 17 gennaio 2018, dalle circolari e relative norme vigenti. </w:t>
      </w:r>
    </w:p>
    <w:p w:rsidR="00F252A3" w:rsidRPr="00484DB6" w:rsidRDefault="00F252A3" w:rsidP="00F252A3">
      <w:pPr>
        <w:ind w:firstLine="284"/>
        <w:rPr>
          <w:rFonts w:cs="Arial"/>
          <w:sz w:val="20"/>
        </w:rPr>
      </w:pPr>
      <w:r w:rsidRPr="00484DB6">
        <w:rPr>
          <w:rFonts w:cs="Arial"/>
          <w:sz w:val="20"/>
        </w:rPr>
        <w:t>I materiali e i prodotti devono rispondere ai requisiti indicati nel punto 11.3. del D.M. 17 gennaio 2018.</w:t>
      </w:r>
    </w:p>
    <w:p w:rsidR="00F252A3" w:rsidRPr="00484DB6" w:rsidRDefault="00F252A3" w:rsidP="00F252A3">
      <w:pPr>
        <w:ind w:firstLine="284"/>
        <w:rPr>
          <w:rFonts w:cs="Arial"/>
          <w:sz w:val="20"/>
        </w:rPr>
      </w:pPr>
      <w:r w:rsidRPr="00484DB6">
        <w:rPr>
          <w:rFonts w:cs="Arial"/>
          <w:sz w:val="20"/>
        </w:rPr>
        <w:t>L'Appaltatore sarà tenuto a presentare in tempo utile, prima dell'approvvigionamento dei materiali, all'esame ed all'approvazione della Direzione dei Lavori:</w:t>
      </w:r>
    </w:p>
    <w:p w:rsidR="00F252A3" w:rsidRPr="00484DB6" w:rsidRDefault="00F252A3" w:rsidP="00F252A3">
      <w:pPr>
        <w:ind w:left="568" w:hanging="284"/>
        <w:rPr>
          <w:rFonts w:cs="Arial"/>
          <w:sz w:val="20"/>
        </w:rPr>
      </w:pPr>
      <w:r w:rsidRPr="00484DB6">
        <w:rPr>
          <w:rFonts w:cs="Arial"/>
          <w:sz w:val="20"/>
        </w:rPr>
        <w:t>a)</w:t>
      </w:r>
      <w:r w:rsidRPr="00484DB6">
        <w:rPr>
          <w:rFonts w:cs="Arial"/>
          <w:sz w:val="20"/>
        </w:rPr>
        <w:tab/>
        <w:t>gli elaborati progettuali esecutivi di cantiere, comprensivi dei disegni esecutivi di officina, sui quali dovranno essere riportate anche le distinte da cui risultino: numero, qualità, dimensioni, grado di finitura e peso teorici di ciascun elemento costituente la struttura, nonché la qualità degli acciai da impiegare;</w:t>
      </w:r>
    </w:p>
    <w:p w:rsidR="00F252A3" w:rsidRPr="00484DB6" w:rsidRDefault="00F252A3" w:rsidP="00F252A3">
      <w:pPr>
        <w:ind w:left="568" w:hanging="284"/>
        <w:rPr>
          <w:rFonts w:cs="Arial"/>
          <w:sz w:val="20"/>
        </w:rPr>
      </w:pPr>
      <w:r w:rsidRPr="00484DB6">
        <w:rPr>
          <w:rFonts w:cs="Arial"/>
          <w:sz w:val="20"/>
        </w:rPr>
        <w:t>b)</w:t>
      </w:r>
      <w:r w:rsidRPr="00484DB6">
        <w:rPr>
          <w:rFonts w:cs="Arial"/>
          <w:sz w:val="20"/>
        </w:rPr>
        <w:tab/>
        <w:t>tutte le indicazioni necessarie alla corretta impostazione delle strutture metalliche sulle opere di fondazione.</w:t>
      </w:r>
    </w:p>
    <w:p w:rsidR="00F252A3" w:rsidRPr="00484DB6" w:rsidRDefault="00F252A3" w:rsidP="00F252A3">
      <w:pPr>
        <w:ind w:firstLine="284"/>
        <w:rPr>
          <w:rFonts w:cs="Arial"/>
          <w:sz w:val="20"/>
        </w:rPr>
      </w:pPr>
      <w:r w:rsidRPr="00484DB6">
        <w:rPr>
          <w:rFonts w:cs="Arial"/>
          <w:sz w:val="20"/>
        </w:rPr>
        <w:t>I suddetti elaborati dovranno essere redatti a cura e spese dell'Appaltatore.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Requisiti per la Progettazione e l'Esecuzione</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Spessori limite</w:t>
      </w:r>
    </w:p>
    <w:p w:rsidR="00F252A3" w:rsidRPr="00484DB6" w:rsidRDefault="00F252A3" w:rsidP="00F252A3">
      <w:pPr>
        <w:ind w:firstLine="284"/>
        <w:rPr>
          <w:rFonts w:cs="Arial"/>
          <w:sz w:val="20"/>
        </w:rPr>
      </w:pPr>
      <w:r w:rsidRPr="00484DB6">
        <w:rPr>
          <w:rFonts w:cs="Arial"/>
          <w:sz w:val="20"/>
        </w:rPr>
        <w:t>È vietato l'uso di profilati con spessore t &lt; 4 mm.</w:t>
      </w:r>
    </w:p>
    <w:p w:rsidR="00F252A3" w:rsidRPr="00484DB6" w:rsidRDefault="00F252A3" w:rsidP="00F252A3">
      <w:pPr>
        <w:ind w:firstLine="284"/>
        <w:rPr>
          <w:rFonts w:cs="Arial"/>
          <w:sz w:val="20"/>
        </w:rPr>
      </w:pPr>
      <w:r w:rsidRPr="00484DB6">
        <w:rPr>
          <w:rFonts w:cs="Arial"/>
          <w:sz w:val="20"/>
        </w:rPr>
        <w:t>Una deroga a tale norma, fino ad uno spessore t = 3mm, è consentita per opere sicuramente protette contro la corrosione, quali per esempio tubi chiusi alle estremità e profili zincati, od opere non esposte agli agenti atmosferici.</w:t>
      </w:r>
    </w:p>
    <w:p w:rsidR="00F252A3" w:rsidRPr="00484DB6" w:rsidRDefault="00F252A3" w:rsidP="00F252A3">
      <w:pPr>
        <w:ind w:firstLine="284"/>
        <w:rPr>
          <w:rFonts w:cs="Arial"/>
          <w:sz w:val="20"/>
        </w:rPr>
      </w:pPr>
      <w:r w:rsidRPr="00484DB6">
        <w:rPr>
          <w:rFonts w:cs="Arial"/>
          <w:sz w:val="20"/>
        </w:rPr>
        <w:t>Le limitazioni di cui sopra non riguardano elementi e profili sagomati a freddo.</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Acciaio incrudito</w:t>
      </w:r>
    </w:p>
    <w:p w:rsidR="00F252A3" w:rsidRPr="00484DB6" w:rsidRDefault="00F252A3" w:rsidP="00F252A3">
      <w:pPr>
        <w:ind w:firstLine="284"/>
        <w:rPr>
          <w:rFonts w:cs="Arial"/>
          <w:sz w:val="20"/>
        </w:rPr>
      </w:pPr>
      <w:r w:rsidRPr="00484DB6">
        <w:rPr>
          <w:rFonts w:cs="Arial"/>
          <w:sz w:val="20"/>
        </w:rPr>
        <w:t xml:space="preserve">Deve essere giustificato mediante specifica valutazione l’impiego di acciaio incrudito in ogni caso in cui si preveda la </w:t>
      </w:r>
      <w:proofErr w:type="spellStart"/>
      <w:r w:rsidRPr="00484DB6">
        <w:rPr>
          <w:rFonts w:cs="Arial"/>
          <w:sz w:val="20"/>
        </w:rPr>
        <w:t>plasticizzazione</w:t>
      </w:r>
      <w:proofErr w:type="spellEnd"/>
      <w:r w:rsidRPr="00484DB6">
        <w:rPr>
          <w:rFonts w:cs="Arial"/>
          <w:sz w:val="20"/>
        </w:rPr>
        <w:t xml:space="preserve"> del materiale (analisi plastica, azioni sismiche o eccezionali, ecc.) o prevalgano i fenomeni di fatica.</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Giunti di tipo misto</w:t>
      </w:r>
    </w:p>
    <w:p w:rsidR="00F252A3" w:rsidRPr="00484DB6" w:rsidRDefault="00F252A3" w:rsidP="00F252A3">
      <w:pPr>
        <w:ind w:firstLine="284"/>
        <w:rPr>
          <w:rFonts w:cs="Arial"/>
          <w:sz w:val="20"/>
        </w:rPr>
      </w:pPr>
      <w:r w:rsidRPr="00484DB6">
        <w:rPr>
          <w:rFonts w:cs="Arial"/>
          <w:sz w:val="20"/>
        </w:rPr>
        <w:t>In uno stesso giunto è vietato l'impiego di differenti metodi di collegamento di forza (ad esempio saldatura e bullonatura), a meno che uno solo di essi sia in grado di sopportare l'intero sforzo, ovvero sia dimostrato, per via sperimentale o teorica, che la disposizione costruttiva è esente dal pericolo di collasso prematuro a catena.</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Problematiche specifiche</w:t>
      </w:r>
    </w:p>
    <w:p w:rsidR="00F252A3" w:rsidRPr="00484DB6" w:rsidRDefault="00F252A3" w:rsidP="00F252A3">
      <w:pPr>
        <w:ind w:firstLine="284"/>
        <w:rPr>
          <w:rFonts w:cs="Arial"/>
          <w:sz w:val="20"/>
        </w:rPr>
      </w:pPr>
      <w:r w:rsidRPr="00484DB6">
        <w:rPr>
          <w:rFonts w:cs="Arial"/>
          <w:sz w:val="20"/>
        </w:rPr>
        <w:t>Oltre alle norme del D.M. 17 gennaio 2018, in relazione a:</w:t>
      </w:r>
    </w:p>
    <w:p w:rsidR="00F252A3" w:rsidRPr="00484DB6" w:rsidRDefault="00F252A3" w:rsidP="00F252A3">
      <w:pPr>
        <w:ind w:firstLine="284"/>
        <w:rPr>
          <w:rFonts w:cs="Arial"/>
          <w:sz w:val="20"/>
        </w:rPr>
      </w:pPr>
      <w:r w:rsidRPr="00484DB6">
        <w:rPr>
          <w:rFonts w:cs="Arial"/>
          <w:sz w:val="20"/>
        </w:rPr>
        <w:t>- Preparazione del materiale,</w:t>
      </w:r>
    </w:p>
    <w:p w:rsidR="00F252A3" w:rsidRPr="00484DB6" w:rsidRDefault="00F252A3" w:rsidP="00F252A3">
      <w:pPr>
        <w:ind w:firstLine="284"/>
        <w:rPr>
          <w:rFonts w:cs="Arial"/>
          <w:sz w:val="20"/>
        </w:rPr>
      </w:pPr>
      <w:r w:rsidRPr="00484DB6">
        <w:rPr>
          <w:rFonts w:cs="Arial"/>
          <w:sz w:val="20"/>
        </w:rPr>
        <w:t>- Tolleranze degli elementi strutturali di fabbricazione e di montaggio,</w:t>
      </w:r>
    </w:p>
    <w:p w:rsidR="00F252A3" w:rsidRPr="00484DB6" w:rsidRDefault="00F252A3" w:rsidP="00F252A3">
      <w:pPr>
        <w:ind w:firstLine="284"/>
        <w:rPr>
          <w:rFonts w:cs="Arial"/>
          <w:sz w:val="20"/>
        </w:rPr>
      </w:pPr>
      <w:r w:rsidRPr="00484DB6">
        <w:rPr>
          <w:rFonts w:cs="Arial"/>
          <w:sz w:val="20"/>
        </w:rPr>
        <w:lastRenderedPageBreak/>
        <w:t>- Impiego dei ferri piatti,</w:t>
      </w:r>
    </w:p>
    <w:p w:rsidR="00F252A3" w:rsidRPr="00484DB6" w:rsidRDefault="00F252A3" w:rsidP="00F252A3">
      <w:pPr>
        <w:ind w:firstLine="284"/>
        <w:rPr>
          <w:rFonts w:cs="Arial"/>
          <w:sz w:val="20"/>
        </w:rPr>
      </w:pPr>
      <w:r w:rsidRPr="00484DB6">
        <w:rPr>
          <w:rFonts w:cs="Arial"/>
          <w:sz w:val="20"/>
        </w:rPr>
        <w:t>- Variazioni di sezione,</w:t>
      </w:r>
    </w:p>
    <w:p w:rsidR="00F252A3" w:rsidRPr="00484DB6" w:rsidRDefault="00F252A3" w:rsidP="00F252A3">
      <w:pPr>
        <w:ind w:firstLine="284"/>
        <w:rPr>
          <w:rFonts w:cs="Arial"/>
          <w:sz w:val="20"/>
        </w:rPr>
      </w:pPr>
      <w:r w:rsidRPr="00484DB6">
        <w:rPr>
          <w:rFonts w:cs="Arial"/>
          <w:sz w:val="20"/>
        </w:rPr>
        <w:t>- Intersezioni,</w:t>
      </w:r>
    </w:p>
    <w:p w:rsidR="00F252A3" w:rsidRPr="00484DB6" w:rsidRDefault="00F252A3" w:rsidP="00F252A3">
      <w:pPr>
        <w:ind w:firstLine="284"/>
        <w:rPr>
          <w:rFonts w:cs="Arial"/>
          <w:sz w:val="20"/>
        </w:rPr>
      </w:pPr>
      <w:r w:rsidRPr="00484DB6">
        <w:rPr>
          <w:rFonts w:cs="Arial"/>
          <w:sz w:val="20"/>
        </w:rPr>
        <w:t>- Collegamenti a taglio con bulloni normali e chiodi,</w:t>
      </w:r>
    </w:p>
    <w:p w:rsidR="00F252A3" w:rsidRPr="00484DB6" w:rsidRDefault="00F252A3" w:rsidP="00F252A3">
      <w:pPr>
        <w:ind w:firstLine="284"/>
        <w:rPr>
          <w:rFonts w:cs="Arial"/>
          <w:sz w:val="20"/>
        </w:rPr>
      </w:pPr>
      <w:r w:rsidRPr="00484DB6">
        <w:rPr>
          <w:rFonts w:cs="Arial"/>
          <w:sz w:val="20"/>
        </w:rPr>
        <w:t>- Tolleranze foro – bullone. Interassi dei bulloni e dei chiodi. Distanze dai margini,</w:t>
      </w:r>
    </w:p>
    <w:p w:rsidR="00F252A3" w:rsidRPr="00484DB6" w:rsidRDefault="00F252A3" w:rsidP="00F252A3">
      <w:pPr>
        <w:ind w:firstLine="284"/>
        <w:rPr>
          <w:rFonts w:cs="Arial"/>
          <w:sz w:val="20"/>
        </w:rPr>
      </w:pPr>
      <w:r w:rsidRPr="00484DB6">
        <w:rPr>
          <w:rFonts w:cs="Arial"/>
          <w:sz w:val="20"/>
        </w:rPr>
        <w:t>- Collegamenti ad attrito con bulloni ad alta resistenza,</w:t>
      </w:r>
    </w:p>
    <w:p w:rsidR="00F252A3" w:rsidRPr="00484DB6" w:rsidRDefault="00F252A3" w:rsidP="00F252A3">
      <w:pPr>
        <w:ind w:firstLine="284"/>
        <w:rPr>
          <w:rFonts w:cs="Arial"/>
          <w:sz w:val="20"/>
        </w:rPr>
      </w:pPr>
      <w:r w:rsidRPr="00484DB6">
        <w:rPr>
          <w:rFonts w:cs="Arial"/>
          <w:sz w:val="20"/>
        </w:rPr>
        <w:t>- Collegamenti saldati,</w:t>
      </w:r>
    </w:p>
    <w:p w:rsidR="00F252A3" w:rsidRPr="00484DB6" w:rsidRDefault="00F252A3" w:rsidP="00F252A3">
      <w:pPr>
        <w:ind w:firstLine="284"/>
        <w:rPr>
          <w:rFonts w:cs="Arial"/>
          <w:sz w:val="20"/>
        </w:rPr>
      </w:pPr>
      <w:r w:rsidRPr="00484DB6">
        <w:rPr>
          <w:rFonts w:cs="Arial"/>
          <w:sz w:val="20"/>
        </w:rPr>
        <w:t xml:space="preserve">- Collegamenti per contatto, </w:t>
      </w:r>
    </w:p>
    <w:p w:rsidR="00F252A3" w:rsidRPr="00484DB6" w:rsidRDefault="00F252A3" w:rsidP="00F252A3">
      <w:pPr>
        <w:ind w:firstLine="284"/>
        <w:rPr>
          <w:rFonts w:cs="Arial"/>
          <w:sz w:val="20"/>
        </w:rPr>
      </w:pPr>
      <w:r w:rsidRPr="00484DB6">
        <w:rPr>
          <w:rFonts w:cs="Arial"/>
          <w:sz w:val="20"/>
        </w:rPr>
        <w:t>si può far riferimento a normative di comprovata validità.</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Apparecchi di appoggio</w:t>
      </w:r>
    </w:p>
    <w:p w:rsidR="00F252A3" w:rsidRPr="00484DB6" w:rsidRDefault="00F252A3" w:rsidP="00F252A3">
      <w:pPr>
        <w:ind w:firstLine="284"/>
        <w:rPr>
          <w:rFonts w:cs="Arial"/>
          <w:sz w:val="20"/>
        </w:rPr>
      </w:pPr>
      <w:r w:rsidRPr="00484DB6">
        <w:rPr>
          <w:rFonts w:cs="Arial"/>
          <w:sz w:val="20"/>
        </w:rPr>
        <w:t>La concezione strutturale deve prevedere facilità di sostituzione degli apparecchi di appoggio, nel caso in cui questi abbiano vita nominale più breve di quella della costruzione alla quale sono connessi.</w:t>
      </w:r>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Verniciatura e zincatura</w:t>
      </w:r>
    </w:p>
    <w:p w:rsidR="00F252A3" w:rsidRPr="00484DB6" w:rsidRDefault="00F252A3" w:rsidP="00F252A3">
      <w:pPr>
        <w:ind w:firstLine="284"/>
        <w:rPr>
          <w:rFonts w:cs="Arial"/>
          <w:sz w:val="20"/>
        </w:rPr>
      </w:pPr>
      <w:r w:rsidRPr="00484DB6">
        <w:rPr>
          <w:rFonts w:cs="Arial"/>
          <w:sz w:val="20"/>
        </w:rPr>
        <w:t>Gli elementi delle strutture in acciaio, a meno che siano di comprovata resistenza alla corrosione, devono essere adeguatamente protetti mediante verniciatura o zincatura, tenendo conto del tipo di acciaio, della sua posizione nella struttura e dell'ambiente nel quale è collocato. Devono essere particolarmente protetti i collegamenti bullonati (precaricati e non precaricati), in modo da impedire qualsiasi infiltrazione all'interno del collegamento.</w:t>
      </w:r>
    </w:p>
    <w:p w:rsidR="00F252A3" w:rsidRPr="00484DB6" w:rsidRDefault="00F252A3" w:rsidP="00F252A3">
      <w:pPr>
        <w:ind w:firstLine="284"/>
        <w:rPr>
          <w:rFonts w:cs="Arial"/>
          <w:sz w:val="20"/>
        </w:rPr>
      </w:pPr>
      <w:r w:rsidRPr="00484DB6">
        <w:rPr>
          <w:rFonts w:cs="Arial"/>
          <w:sz w:val="20"/>
        </w:rPr>
        <w:t>Anche per gli acciai con resistenza alla corrosione migliorata (per i quali può farsi utile riferimento alla norma UNI EN 10025-5) devono prevedersi, ove necessario, protezioni mediante verniciatura.</w:t>
      </w:r>
    </w:p>
    <w:p w:rsidR="00F252A3" w:rsidRPr="00484DB6" w:rsidRDefault="00F252A3" w:rsidP="00F252A3">
      <w:pPr>
        <w:ind w:firstLine="284"/>
        <w:rPr>
          <w:rFonts w:cs="Arial"/>
          <w:sz w:val="20"/>
        </w:rPr>
      </w:pPr>
      <w:r w:rsidRPr="00484DB6">
        <w:rPr>
          <w:rFonts w:cs="Arial"/>
          <w:sz w:val="20"/>
        </w:rPr>
        <w:t>Nel caso di parti inaccessibili, o profili a sezione chiusa non ermeticamente chiusi alle estremità, dovranno prevedersi adeguati sovraspessori.</w:t>
      </w:r>
    </w:p>
    <w:p w:rsidR="00F252A3" w:rsidRPr="00484DB6" w:rsidRDefault="00F252A3" w:rsidP="00F252A3">
      <w:pPr>
        <w:ind w:firstLine="284"/>
        <w:rPr>
          <w:rFonts w:cs="Arial"/>
          <w:sz w:val="20"/>
        </w:rPr>
      </w:pPr>
      <w:r w:rsidRPr="00484DB6">
        <w:rPr>
          <w:rFonts w:cs="Arial"/>
          <w:sz w:val="20"/>
        </w:rPr>
        <w:t>Gli elementi destinati ad essere incorporati in getti di calcestruzzo non devono essere verniciati: possono essere invece zincati a caldo.</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Controlli in Corso di Lavorazione</w:t>
      </w:r>
    </w:p>
    <w:p w:rsidR="00F252A3" w:rsidRPr="00484DB6" w:rsidRDefault="00F252A3" w:rsidP="00F252A3">
      <w:pPr>
        <w:ind w:firstLine="284"/>
        <w:rPr>
          <w:rFonts w:cs="Arial"/>
          <w:sz w:val="20"/>
        </w:rPr>
      </w:pPr>
      <w:r w:rsidRPr="00484DB6">
        <w:rPr>
          <w:rFonts w:cs="Arial"/>
          <w:sz w:val="20"/>
        </w:rPr>
        <w:t>L'Appaltatore dovrà essere in grado di individuare e documentare in ogni momento la provenienza dei materiali impiegati nelle lavorazioni e di risalire ai corrispondenti certificati di qualificazione, dei quali dovrà esibire la copia a richiesta della Direzione dei Lavori.</w:t>
      </w:r>
    </w:p>
    <w:p w:rsidR="00F252A3" w:rsidRPr="00484DB6" w:rsidRDefault="00F252A3" w:rsidP="00F252A3">
      <w:pPr>
        <w:ind w:firstLine="284"/>
        <w:rPr>
          <w:rFonts w:cs="Arial"/>
          <w:sz w:val="20"/>
        </w:rPr>
      </w:pPr>
      <w:r w:rsidRPr="00484DB6">
        <w:rPr>
          <w:rFonts w:cs="Arial"/>
          <w:sz w:val="20"/>
        </w:rPr>
        <w:t>Alla Direzione dei Lavori è riservata comunque la facoltà di eseguire in ogni momento della lavorazione tutti i controlli che riterrà opportuni per accertare che i materiali impiegati siano quelli certificati, che le strutture siano conformi ai disegni di progetto e che le stesse siano eseguite a perfetta regola d'arte.</w:t>
      </w:r>
    </w:p>
    <w:p w:rsidR="00F252A3" w:rsidRPr="00484DB6" w:rsidRDefault="00F252A3" w:rsidP="00F252A3">
      <w:pPr>
        <w:ind w:firstLine="284"/>
        <w:rPr>
          <w:rFonts w:cs="Arial"/>
          <w:sz w:val="20"/>
        </w:rPr>
      </w:pPr>
      <w:r w:rsidRPr="00484DB6">
        <w:rPr>
          <w:rFonts w:cs="Arial"/>
          <w:sz w:val="20"/>
        </w:rPr>
        <w:t>Ogni volta che le strutture metalliche lavorate si rendono pronte per il collaudo l'Appaltatore informerà la Direzione dei Lavori, la quale darà risposta entro 8 giorni fissando la data del collaudo in contraddittorio, oppure autorizzando la spedizione delle strutture stesse in cantiere.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Identificazione e Rintracciabilità dei Prodotti Qualificati</w:t>
      </w:r>
    </w:p>
    <w:p w:rsidR="00F252A3" w:rsidRPr="00484DB6" w:rsidRDefault="00F252A3" w:rsidP="00F252A3">
      <w:pPr>
        <w:ind w:firstLine="284"/>
        <w:rPr>
          <w:rFonts w:cs="Arial"/>
          <w:sz w:val="20"/>
        </w:rPr>
      </w:pPr>
      <w:r w:rsidRPr="00484DB6">
        <w:rPr>
          <w:rFonts w:cs="Arial"/>
          <w:sz w:val="20"/>
        </w:rPr>
        <w:t>Ogni prodotto deve essere marchiato con identificativi diversi da quelli di prodotti aventi differenti caratteristiche, ma fabbricati nello stesso stabilimento e con identificativi differenti da quelli di prodotti con uguali caratteristiche ma fabbricati in altri stabilimenti, siano essi o meno dello stesso produttore. La marchiatura deve essere inalterabile nel tempo e senza possibilità di manomissione.</w:t>
      </w:r>
    </w:p>
    <w:p w:rsidR="00F252A3" w:rsidRPr="00484DB6" w:rsidRDefault="00F252A3" w:rsidP="00F252A3">
      <w:pPr>
        <w:ind w:firstLine="284"/>
        <w:rPr>
          <w:rFonts w:cs="Arial"/>
          <w:sz w:val="20"/>
        </w:rPr>
      </w:pPr>
      <w:r w:rsidRPr="00484DB6">
        <w:rPr>
          <w:rFonts w:cs="Arial"/>
          <w:sz w:val="20"/>
        </w:rPr>
        <w:t>La mancata marchiatura, la non corrispondenza a quanto depositato o la sua illeggibilità, anche parziale, rendono il prodotto non impiegabile.</w:t>
      </w:r>
    </w:p>
    <w:p w:rsidR="00F252A3" w:rsidRPr="00484DB6" w:rsidRDefault="00F252A3" w:rsidP="00F252A3">
      <w:pPr>
        <w:ind w:firstLine="284"/>
        <w:rPr>
          <w:rFonts w:cs="Arial"/>
          <w:sz w:val="20"/>
        </w:rPr>
      </w:pPr>
      <w:r w:rsidRPr="00484DB6">
        <w:rPr>
          <w:rFonts w:cs="Arial"/>
          <w:sz w:val="20"/>
        </w:rPr>
        <w:t>Qualora, sia presso gli utilizzatori, sia presso i commercianti, l'unità marchiata (pezzo singolo o fascio) venga scorporata, per cui una parte, o il tutto, perda l'originale marchiatura del prodotto è responsabilità sia degli utilizzatori sia dei commercianti documentare la provenienza mediante i documenti di accompagnamento del materiale e gli estremi del deposito del marchio presso il Servizio Tecnico Centrale.</w:t>
      </w:r>
    </w:p>
    <w:p w:rsidR="00F252A3" w:rsidRPr="00484DB6" w:rsidRDefault="00F252A3" w:rsidP="00F252A3">
      <w:pPr>
        <w:ind w:firstLine="284"/>
        <w:rPr>
          <w:rFonts w:cs="Arial"/>
          <w:sz w:val="20"/>
        </w:rPr>
      </w:pPr>
      <w:r w:rsidRPr="00484DB6">
        <w:rPr>
          <w:rFonts w:cs="Arial"/>
          <w:sz w:val="20"/>
        </w:rPr>
        <w:t>Nel primo caso i campioni destinati al laboratorio incaricato delle prove di cantiere devono essere accompagnati dalla sopraindicata documentazione e da una dichiarazione di provenienza rilasciata dalla Direzione dei Lavori, quale risulta dai documenti di accompagnamento del materiale.</w:t>
      </w:r>
    </w:p>
    <w:p w:rsidR="00F252A3" w:rsidRPr="00484DB6" w:rsidRDefault="00F252A3" w:rsidP="00F252A3">
      <w:pPr>
        <w:ind w:firstLine="284"/>
        <w:rPr>
          <w:rFonts w:cs="Arial"/>
          <w:sz w:val="20"/>
        </w:rPr>
      </w:pPr>
      <w:r w:rsidRPr="00484DB6">
        <w:rPr>
          <w:rFonts w:cs="Arial"/>
          <w:sz w:val="20"/>
        </w:rPr>
        <w:t>L'Appaltatore dovrà essere in grado di individuare e documentare in ogni momento la provenienza dei materiali impiegati nelle lavorazioni e di risalire ai corrispondenti certificati di qualificazione, dei quali dovrà esibire la copia a richiesta della Direzione dei Lavori.</w:t>
      </w:r>
    </w:p>
    <w:p w:rsidR="00F252A3" w:rsidRPr="00484DB6" w:rsidRDefault="00F252A3" w:rsidP="00F252A3">
      <w:pPr>
        <w:ind w:firstLine="284"/>
        <w:rPr>
          <w:rFonts w:cs="Arial"/>
          <w:sz w:val="20"/>
        </w:rPr>
      </w:pPr>
      <w:r w:rsidRPr="00484DB6">
        <w:rPr>
          <w:rFonts w:cs="Arial"/>
          <w:sz w:val="20"/>
        </w:rPr>
        <w:t xml:space="preserve">Alla Direzione dei Lavori è riservata comunque la facoltà di eseguire in ogni momento della lavorazione tutti i controlli che riterrà opportuni per accertare che i materiali impiegati siano quelli </w:t>
      </w:r>
      <w:r w:rsidRPr="00484DB6">
        <w:rPr>
          <w:rFonts w:cs="Arial"/>
          <w:sz w:val="20"/>
        </w:rPr>
        <w:lastRenderedPageBreak/>
        <w:t>certificati, che le strutture siano conformi ai disegni di progetto e che le stesse siano eseguite a perfetta regola d'arte.</w:t>
      </w:r>
    </w:p>
    <w:p w:rsidR="00F252A3" w:rsidRPr="00484DB6" w:rsidRDefault="00F252A3" w:rsidP="00F252A3">
      <w:pPr>
        <w:ind w:firstLine="284"/>
        <w:rPr>
          <w:rFonts w:cs="Arial"/>
          <w:sz w:val="20"/>
        </w:rPr>
      </w:pPr>
      <w:r w:rsidRPr="00484DB6">
        <w:rPr>
          <w:rFonts w:cs="Arial"/>
          <w:sz w:val="20"/>
        </w:rPr>
        <w:t>Ogni volta che le strutture metalliche lavorate si rendono pronte per il collaudo l'Appaltatore informerà la Direzione dei Lavori, la quale darà risposta entro 8 giorni fissando la data del collaudo in contraddittorio, oppure autorizzando la spedizione delle strutture stesse in cantiere.</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Montaggio</w:t>
      </w:r>
    </w:p>
    <w:p w:rsidR="00F252A3" w:rsidRPr="00484DB6" w:rsidRDefault="00F252A3" w:rsidP="00F252A3">
      <w:pPr>
        <w:ind w:firstLine="284"/>
        <w:rPr>
          <w:rFonts w:cs="Arial"/>
          <w:sz w:val="20"/>
        </w:rPr>
      </w:pPr>
      <w:r w:rsidRPr="00484DB6">
        <w:rPr>
          <w:rFonts w:cs="Arial"/>
          <w:sz w:val="20"/>
        </w:rPr>
        <w:t>Il montaggio in opera di tutte le strutture costituenti ciascun manufatto sarà effettuato in conformità a quanto, a tale riguardo, è previsto nella relazione di calcolo.</w:t>
      </w:r>
    </w:p>
    <w:p w:rsidR="00F252A3" w:rsidRPr="00484DB6" w:rsidRDefault="00F252A3" w:rsidP="00F252A3">
      <w:pPr>
        <w:ind w:firstLine="284"/>
        <w:rPr>
          <w:rFonts w:cs="Arial"/>
          <w:sz w:val="20"/>
        </w:rPr>
      </w:pPr>
      <w:r w:rsidRPr="00484DB6">
        <w:rPr>
          <w:rFonts w:cs="Arial"/>
          <w:sz w:val="20"/>
        </w:rPr>
        <w:t>Durante il carico, il trasporto, lo scarico, il deposito ed il montaggio, si dovrà porre la massima cura per evitare che le strutture vengano sovrasollecitate o deformate.</w:t>
      </w:r>
    </w:p>
    <w:p w:rsidR="00F252A3" w:rsidRPr="00484DB6" w:rsidRDefault="00F252A3" w:rsidP="00F252A3">
      <w:pPr>
        <w:ind w:firstLine="284"/>
        <w:rPr>
          <w:rFonts w:cs="Arial"/>
          <w:sz w:val="20"/>
        </w:rPr>
      </w:pPr>
      <w:r w:rsidRPr="00484DB6">
        <w:rPr>
          <w:rFonts w:cs="Arial"/>
          <w:sz w:val="20"/>
        </w:rPr>
        <w:t>Le parti a contatto con funi, catene od altri organi di sollevamento saranno opportunamente protette.</w:t>
      </w:r>
    </w:p>
    <w:p w:rsidR="00F252A3" w:rsidRPr="00484DB6" w:rsidRDefault="00F252A3" w:rsidP="00F252A3">
      <w:pPr>
        <w:ind w:firstLine="284"/>
        <w:rPr>
          <w:rFonts w:cs="Arial"/>
          <w:sz w:val="20"/>
        </w:rPr>
      </w:pPr>
      <w:r w:rsidRPr="00484DB6">
        <w:rPr>
          <w:rFonts w:cs="Arial"/>
          <w:sz w:val="20"/>
        </w:rPr>
        <w:t>Il montaggio sarà eseguito in modo che la struttura raggiunga la configurazione geometrica di progetto, nel rispetto dello stato di sollecitazione previsto nel progetto medesimo.</w:t>
      </w:r>
    </w:p>
    <w:p w:rsidR="00F252A3" w:rsidRPr="00484DB6" w:rsidRDefault="00F252A3" w:rsidP="00F252A3">
      <w:pPr>
        <w:ind w:firstLine="284"/>
        <w:rPr>
          <w:rFonts w:cs="Arial"/>
          <w:sz w:val="20"/>
        </w:rPr>
      </w:pPr>
      <w:r w:rsidRPr="00484DB6">
        <w:rPr>
          <w:rFonts w:cs="Arial"/>
          <w:sz w:val="20"/>
        </w:rPr>
        <w:t xml:space="preserve">In particolare, per quanto riguarda le strutture a travata, si dovrà controllare che la </w:t>
      </w:r>
      <w:proofErr w:type="spellStart"/>
      <w:r w:rsidRPr="00484DB6">
        <w:rPr>
          <w:rFonts w:cs="Arial"/>
          <w:sz w:val="20"/>
        </w:rPr>
        <w:t>controfreccia</w:t>
      </w:r>
      <w:proofErr w:type="spellEnd"/>
      <w:r w:rsidRPr="00484DB6">
        <w:rPr>
          <w:rFonts w:cs="Arial"/>
          <w:sz w:val="20"/>
        </w:rPr>
        <w:t xml:space="preserve"> ed il posizionamento sugli apparecchi di appoggio siano conformi alle indicazioni di progetto, rispettando le tolleranze previste.</w:t>
      </w:r>
    </w:p>
    <w:p w:rsidR="00F252A3" w:rsidRPr="00484DB6" w:rsidRDefault="00F252A3" w:rsidP="00F252A3">
      <w:pPr>
        <w:ind w:firstLine="284"/>
        <w:rPr>
          <w:rFonts w:cs="Arial"/>
          <w:sz w:val="20"/>
        </w:rPr>
      </w:pPr>
      <w:r w:rsidRPr="00484DB6">
        <w:rPr>
          <w:rFonts w:cs="Arial"/>
          <w:sz w:val="20"/>
        </w:rPr>
        <w:t>La stabilità delle strutture dovrà essere assicurata durante tutte le fasi costruttive e la rimozione dei collegamenti provvisori e di altri dispositivi ausiliari dovrà essere fatta solo quando essi risulteranno staticamente superflui.</w:t>
      </w:r>
    </w:p>
    <w:p w:rsidR="00F252A3" w:rsidRPr="00484DB6" w:rsidRDefault="00F252A3" w:rsidP="00F252A3">
      <w:pPr>
        <w:ind w:firstLine="284"/>
        <w:rPr>
          <w:rFonts w:cs="Arial"/>
          <w:sz w:val="20"/>
        </w:rPr>
      </w:pPr>
      <w:r w:rsidRPr="00484DB6">
        <w:rPr>
          <w:rFonts w:cs="Arial"/>
          <w:sz w:val="20"/>
        </w:rPr>
        <w:t>L'assemblaggio ed il montaggio in opera delle strutture dovrà essere effettuato senza che venga interrotto il traffico di cantiere sulla eventuale sottostante sede stradale salvo brevi interruzioni durante le operazioni di sollevamento, da concordare con la Direzione dei Lavori.</w:t>
      </w:r>
    </w:p>
    <w:p w:rsidR="00F252A3" w:rsidRPr="00484DB6" w:rsidRDefault="00F252A3" w:rsidP="00F252A3">
      <w:pPr>
        <w:ind w:firstLine="284"/>
        <w:rPr>
          <w:rFonts w:cs="Arial"/>
          <w:sz w:val="20"/>
        </w:rPr>
      </w:pPr>
      <w:r w:rsidRPr="00484DB6">
        <w:rPr>
          <w:rFonts w:cs="Arial"/>
          <w:sz w:val="20"/>
        </w:rPr>
        <w:t>Nella progettazione e nell'impiego delle attrezzature di montaggio, l'Appaltatore è tenuto a rispettare le norme, le prescrizioni ed i vincoli che eventualmente venissero imposti da Enti, Uffici e persone responsabili riguardo alla zona interessata, ed in particolare:</w:t>
      </w:r>
    </w:p>
    <w:p w:rsidR="00F252A3" w:rsidRPr="00484DB6" w:rsidRDefault="00F252A3" w:rsidP="00F252A3">
      <w:pPr>
        <w:ind w:left="568" w:hanging="284"/>
        <w:rPr>
          <w:rFonts w:cs="Arial"/>
          <w:sz w:val="20"/>
        </w:rPr>
      </w:pPr>
      <w:r w:rsidRPr="00484DB6">
        <w:rPr>
          <w:rFonts w:cs="Arial"/>
          <w:sz w:val="20"/>
        </w:rPr>
        <w:t>-</w:t>
      </w:r>
      <w:r w:rsidRPr="00484DB6">
        <w:rPr>
          <w:rFonts w:cs="Arial"/>
          <w:sz w:val="20"/>
        </w:rPr>
        <w:tab/>
        <w:t>per l'ingombro degli alvei dei corsi d'acqua;</w:t>
      </w:r>
    </w:p>
    <w:p w:rsidR="00F252A3" w:rsidRPr="00484DB6" w:rsidRDefault="00F252A3" w:rsidP="00F252A3">
      <w:pPr>
        <w:ind w:left="568" w:hanging="284"/>
        <w:rPr>
          <w:rFonts w:cs="Arial"/>
          <w:sz w:val="20"/>
        </w:rPr>
      </w:pPr>
      <w:r w:rsidRPr="00484DB6">
        <w:rPr>
          <w:rFonts w:cs="Arial"/>
          <w:sz w:val="20"/>
        </w:rPr>
        <w:t>-</w:t>
      </w:r>
      <w:r w:rsidRPr="00484DB6">
        <w:rPr>
          <w:rFonts w:cs="Arial"/>
          <w:sz w:val="20"/>
        </w:rPr>
        <w:tab/>
        <w:t>per le sagome da lasciare libere nei sovrappassi o sottopassi di strade, autostrade, ferrovie, tranvie, ecc.;</w:t>
      </w:r>
    </w:p>
    <w:p w:rsidR="00F252A3" w:rsidRPr="00484DB6" w:rsidRDefault="00F252A3" w:rsidP="00F252A3">
      <w:pPr>
        <w:ind w:left="568" w:hanging="284"/>
        <w:rPr>
          <w:rFonts w:cs="Arial"/>
          <w:sz w:val="20"/>
        </w:rPr>
      </w:pPr>
      <w:r w:rsidRPr="00484DB6">
        <w:rPr>
          <w:rFonts w:cs="Arial"/>
          <w:sz w:val="20"/>
        </w:rPr>
        <w:t>-</w:t>
      </w:r>
      <w:r w:rsidRPr="00484DB6">
        <w:rPr>
          <w:rFonts w:cs="Arial"/>
          <w:sz w:val="20"/>
        </w:rPr>
        <w:tab/>
        <w:t>per le interferenze con servizi di soprasuolo e di sottosuolo.</w:t>
      </w:r>
    </w:p>
    <w:p w:rsidR="00F252A3" w:rsidRPr="00484DB6" w:rsidRDefault="00F252A3" w:rsidP="00F252A3">
      <w:pPr>
        <w:ind w:firstLine="284"/>
        <w:rPr>
          <w:rFonts w:cs="Arial"/>
          <w:sz w:val="20"/>
        </w:rPr>
      </w:pPr>
    </w:p>
    <w:p w:rsidR="00F252A3" w:rsidRPr="00484DB6" w:rsidRDefault="00F252A3" w:rsidP="00F252A3">
      <w:pPr>
        <w:rPr>
          <w:rFonts w:cs="Arial"/>
          <w:sz w:val="20"/>
        </w:rPr>
      </w:pPr>
      <w:r w:rsidRPr="00484DB6">
        <w:rPr>
          <w:rFonts w:cs="Arial"/>
          <w:b/>
          <w:sz w:val="20"/>
        </w:rPr>
        <w:t>Prove di Carico e Collaudo Statico</w:t>
      </w:r>
    </w:p>
    <w:p w:rsidR="00F252A3" w:rsidRPr="00484DB6" w:rsidRDefault="00F252A3" w:rsidP="00F252A3">
      <w:pPr>
        <w:ind w:firstLine="284"/>
        <w:rPr>
          <w:rFonts w:cs="Arial"/>
          <w:sz w:val="20"/>
        </w:rPr>
      </w:pPr>
      <w:r w:rsidRPr="00484DB6">
        <w:rPr>
          <w:rFonts w:cs="Arial"/>
          <w:sz w:val="20"/>
        </w:rPr>
        <w:t>Prima di sottoporre le strutture di acciaio alle prove di carico, dopo la loro ultimazione in opera e di regola, prima che siano applicate le ultime mani di vernice, quando prevista, verrà eseguita da parte della Direzione dei Lavori una accurata visita preliminare di tutte le membrature per constatare che le strutture siano state eseguite in conformità ai relativi disegni di progetto, alle buone regole d'arte ed a tutte le prescrizioni di contratto.</w:t>
      </w:r>
    </w:p>
    <w:p w:rsidR="00F252A3" w:rsidRPr="00484DB6" w:rsidRDefault="00F252A3" w:rsidP="00F252A3">
      <w:pPr>
        <w:ind w:firstLine="284"/>
        <w:rPr>
          <w:rFonts w:cs="Arial"/>
          <w:sz w:val="20"/>
        </w:rPr>
      </w:pPr>
      <w:r w:rsidRPr="00484DB6">
        <w:rPr>
          <w:rFonts w:cs="Arial"/>
          <w:sz w:val="20"/>
        </w:rPr>
        <w:t xml:space="preserve">Ove nulla osti, si procederà quindi alle prove di carico ed al collaudo statico delle strutture; operazioni che verranno condotte, a cura e spese dell'Appaltatore, secondo le prescrizioni contenute nei decreti ministeriali vigenti e nel d.P.R. 380/2001 e </w:t>
      </w:r>
      <w:proofErr w:type="spellStart"/>
      <w:r w:rsidRPr="00484DB6">
        <w:rPr>
          <w:rFonts w:cs="Arial"/>
          <w:sz w:val="20"/>
        </w:rPr>
        <w:t>s.m.i.</w:t>
      </w:r>
      <w:proofErr w:type="spellEnd"/>
    </w:p>
    <w:p w:rsidR="00F252A3" w:rsidRPr="00484DB6" w:rsidRDefault="00F252A3" w:rsidP="00F252A3">
      <w:pPr>
        <w:ind w:firstLine="284"/>
        <w:rPr>
          <w:rFonts w:cs="Arial"/>
          <w:sz w:val="20"/>
        </w:rPr>
      </w:pPr>
    </w:p>
    <w:p w:rsidR="00F252A3" w:rsidRPr="00484DB6" w:rsidRDefault="00F252A3" w:rsidP="00F252A3">
      <w:pPr>
        <w:rPr>
          <w:rFonts w:cs="Arial"/>
          <w:b/>
          <w:sz w:val="20"/>
        </w:rPr>
      </w:pPr>
      <w:r w:rsidRPr="00484DB6">
        <w:rPr>
          <w:rFonts w:cs="Arial"/>
          <w:b/>
          <w:sz w:val="20"/>
        </w:rPr>
        <w:t>4.7.2 Acciaio per calcestruzzo armato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Caratteristiche dimensionali e di impiego</w:t>
      </w:r>
    </w:p>
    <w:p w:rsidR="00F252A3" w:rsidRPr="00484DB6" w:rsidRDefault="00F252A3" w:rsidP="00F252A3">
      <w:pPr>
        <w:rPr>
          <w:rFonts w:cs="Arial"/>
          <w:sz w:val="20"/>
        </w:rPr>
      </w:pPr>
      <w:r w:rsidRPr="00484DB6">
        <w:rPr>
          <w:rFonts w:cs="Arial"/>
          <w:sz w:val="20"/>
        </w:rPr>
        <w:t>L'acciaio per cemento armato è esclusivamente prodotto in stabilimento sotto forma di barre o rotoli, reti o tralicci, per utilizzo diretto o come elementi di base per successive trasformazioni.</w:t>
      </w:r>
    </w:p>
    <w:p w:rsidR="00F252A3" w:rsidRPr="00484DB6" w:rsidRDefault="00F252A3" w:rsidP="00F252A3">
      <w:pPr>
        <w:ind w:firstLine="284"/>
        <w:rPr>
          <w:rFonts w:cs="Arial"/>
          <w:sz w:val="20"/>
        </w:rPr>
      </w:pPr>
      <w:r w:rsidRPr="00484DB6">
        <w:rPr>
          <w:rFonts w:cs="Arial"/>
          <w:sz w:val="20"/>
        </w:rPr>
        <w:t xml:space="preserve">Prima della fornitura in cantiere gli elementi di cui sopra possono essere saldati, </w:t>
      </w:r>
      <w:proofErr w:type="spellStart"/>
      <w:r w:rsidRPr="00484DB6">
        <w:rPr>
          <w:rFonts w:cs="Arial"/>
          <w:sz w:val="20"/>
        </w:rPr>
        <w:t>presagomati</w:t>
      </w:r>
      <w:proofErr w:type="spellEnd"/>
      <w:r w:rsidRPr="00484DB6">
        <w:rPr>
          <w:rFonts w:cs="Arial"/>
          <w:sz w:val="20"/>
        </w:rPr>
        <w:t xml:space="preserve"> (staffe, ferri piegati, ecc.) o preassemblati (gabbie di armatura, ecc.) a formare elementi composti direttamente utilizzabili in opera.</w:t>
      </w:r>
    </w:p>
    <w:p w:rsidR="00F252A3" w:rsidRPr="00484DB6" w:rsidRDefault="00F252A3" w:rsidP="00F252A3">
      <w:pPr>
        <w:ind w:firstLine="284"/>
        <w:rPr>
          <w:rFonts w:cs="Arial"/>
          <w:sz w:val="20"/>
        </w:rPr>
      </w:pPr>
      <w:r w:rsidRPr="00484DB6">
        <w:rPr>
          <w:rFonts w:cs="Arial"/>
          <w:sz w:val="20"/>
        </w:rPr>
        <w:t>La sagomatura e/o l'assemblaggio possono avvenire:</w:t>
      </w:r>
    </w:p>
    <w:p w:rsidR="00F252A3" w:rsidRPr="00484DB6" w:rsidRDefault="00F252A3" w:rsidP="00F252A3">
      <w:pPr>
        <w:ind w:firstLine="284"/>
        <w:rPr>
          <w:rFonts w:cs="Arial"/>
          <w:sz w:val="20"/>
        </w:rPr>
      </w:pPr>
      <w:r w:rsidRPr="00484DB6">
        <w:rPr>
          <w:rFonts w:cs="Arial"/>
          <w:sz w:val="20"/>
        </w:rPr>
        <w:t>- in cantiere, sotto la vigilanza della Direzione dei Lavori;</w:t>
      </w:r>
    </w:p>
    <w:p w:rsidR="00F252A3" w:rsidRPr="00484DB6" w:rsidRDefault="00F252A3" w:rsidP="00F252A3">
      <w:pPr>
        <w:ind w:firstLine="284"/>
        <w:rPr>
          <w:rFonts w:cs="Arial"/>
          <w:sz w:val="20"/>
        </w:rPr>
      </w:pPr>
      <w:r w:rsidRPr="00484DB6">
        <w:rPr>
          <w:rFonts w:cs="Arial"/>
          <w:sz w:val="20"/>
        </w:rPr>
        <w:t>- in centri di trasformazione, solo se provvisti dei requisiti di cui al punto 11.3.1.7. del D.M. 17 gennaio 2018.</w:t>
      </w:r>
    </w:p>
    <w:p w:rsidR="00F252A3" w:rsidRPr="00484DB6" w:rsidRDefault="00F252A3" w:rsidP="00F252A3">
      <w:pPr>
        <w:ind w:firstLine="284"/>
        <w:rPr>
          <w:rFonts w:cs="Arial"/>
          <w:sz w:val="20"/>
        </w:rPr>
      </w:pPr>
      <w:r w:rsidRPr="00484DB6">
        <w:rPr>
          <w:rFonts w:cs="Arial"/>
          <w:sz w:val="20"/>
        </w:rPr>
        <w:t>Tutti gli acciai per calcestruzzo armato devono essere ad aderenza migliorata, aventi cioè una superficie dotata di nervature o dentellature trasversali, uniformemente distribuite sull'intera lunghezza, atte a garantire adeguata aderenza tra armature e conglomerato cementizio.</w:t>
      </w:r>
    </w:p>
    <w:p w:rsidR="00F252A3" w:rsidRPr="00484DB6" w:rsidRDefault="00F252A3" w:rsidP="00F252A3">
      <w:pPr>
        <w:ind w:firstLine="284"/>
        <w:rPr>
          <w:rFonts w:cs="Arial"/>
          <w:sz w:val="20"/>
        </w:rPr>
      </w:pPr>
      <w:r w:rsidRPr="00484DB6">
        <w:rPr>
          <w:rFonts w:cs="Arial"/>
          <w:sz w:val="20"/>
        </w:rPr>
        <w:t>Per quanto riguarda la marchiatura dei prodotti e la documentazione di accompagnamento vale quanto indicato nel D.M. 17 gennaio 2018.</w:t>
      </w:r>
    </w:p>
    <w:p w:rsidR="00F252A3" w:rsidRPr="00484DB6" w:rsidRDefault="00F252A3" w:rsidP="00F252A3">
      <w:pPr>
        <w:rPr>
          <w:rFonts w:cs="Arial"/>
          <w:b/>
          <w:sz w:val="20"/>
        </w:rPr>
      </w:pPr>
    </w:p>
    <w:p w:rsidR="00F252A3" w:rsidRPr="00484DB6" w:rsidRDefault="00F252A3" w:rsidP="00F252A3">
      <w:pPr>
        <w:rPr>
          <w:rFonts w:cs="Arial"/>
          <w:sz w:val="20"/>
        </w:rPr>
      </w:pPr>
      <w:r w:rsidRPr="00484DB6">
        <w:rPr>
          <w:rFonts w:cs="Arial"/>
          <w:b/>
          <w:sz w:val="20"/>
        </w:rPr>
        <w:lastRenderedPageBreak/>
        <w:t>Reti e tralicci elettrosaldati</w:t>
      </w:r>
    </w:p>
    <w:p w:rsidR="00F252A3" w:rsidRPr="00484DB6" w:rsidRDefault="00F252A3" w:rsidP="00F252A3">
      <w:pPr>
        <w:rPr>
          <w:rFonts w:cs="Arial"/>
          <w:sz w:val="20"/>
        </w:rPr>
      </w:pPr>
      <w:r w:rsidRPr="00484DB6">
        <w:rPr>
          <w:rFonts w:cs="Arial"/>
          <w:sz w:val="20"/>
        </w:rPr>
        <w:t>Gli acciai delle reti e tralicci elettrosaldati devono essere saldabili. L’interasse delle barre non deve superare, nelle due direzioni, 330 mm.</w:t>
      </w:r>
    </w:p>
    <w:p w:rsidR="00F252A3" w:rsidRPr="00484DB6" w:rsidRDefault="00F252A3" w:rsidP="00F252A3">
      <w:pPr>
        <w:ind w:firstLine="284"/>
        <w:rPr>
          <w:rFonts w:cs="Arial"/>
          <w:sz w:val="20"/>
        </w:rPr>
      </w:pPr>
      <w:r w:rsidRPr="00484DB6">
        <w:rPr>
          <w:rFonts w:cs="Arial"/>
          <w:sz w:val="20"/>
        </w:rPr>
        <w:t>I tralicci e le reti sono prodotti reticolari assemblati in stabilimento mediante elettrosaldature, eseguite da macchine automatiche in tutti i punti di intersezione.</w:t>
      </w:r>
    </w:p>
    <w:p w:rsidR="00F252A3" w:rsidRPr="00484DB6" w:rsidRDefault="00F252A3" w:rsidP="00F252A3">
      <w:pPr>
        <w:ind w:firstLine="284"/>
        <w:rPr>
          <w:rFonts w:cs="Arial"/>
          <w:sz w:val="20"/>
        </w:rPr>
      </w:pPr>
      <w:r w:rsidRPr="00484DB6">
        <w:rPr>
          <w:rFonts w:cs="Arial"/>
          <w:sz w:val="20"/>
        </w:rPr>
        <w:t>Per le reti ed i tralicci costituiti con acciaio B450C, gli elementi base devono avere diametro (d) che rispetta la limitazione: 6 mm d = &lt;16 mm.</w:t>
      </w:r>
    </w:p>
    <w:p w:rsidR="00F252A3" w:rsidRPr="00484DB6" w:rsidRDefault="00F252A3" w:rsidP="00F252A3">
      <w:pPr>
        <w:ind w:firstLine="284"/>
        <w:rPr>
          <w:rFonts w:cs="Arial"/>
          <w:sz w:val="20"/>
        </w:rPr>
      </w:pPr>
      <w:r w:rsidRPr="00484DB6">
        <w:rPr>
          <w:rFonts w:cs="Arial"/>
          <w:sz w:val="20"/>
        </w:rPr>
        <w:t>Per le reti ed i tralicci costituiti con acciaio B450A, gli elementi base devono avere diametro (d) che rispetta la limitazione: 5 mm d = &lt;10 mm.</w:t>
      </w:r>
    </w:p>
    <w:p w:rsidR="00F252A3" w:rsidRPr="00484DB6" w:rsidRDefault="00F252A3" w:rsidP="00F252A3">
      <w:pPr>
        <w:ind w:firstLine="284"/>
        <w:rPr>
          <w:rFonts w:cs="Arial"/>
          <w:sz w:val="20"/>
        </w:rPr>
      </w:pPr>
      <w:r w:rsidRPr="00484DB6">
        <w:rPr>
          <w:rFonts w:cs="Arial"/>
          <w:sz w:val="20"/>
        </w:rPr>
        <w:t>La produzione di reti e tralicci elettrosaldati deve essere effettuata a partire da materiale di base qualificato. Nel caso di reti e tralicci formati con elementi base prodotti nello stesso stabilimento, la marchiatura del prodotto finito può coincidere con quella dell’elemento base.</w:t>
      </w:r>
    </w:p>
    <w:p w:rsidR="00F252A3" w:rsidRPr="00484DB6" w:rsidRDefault="00F252A3" w:rsidP="00F252A3">
      <w:pPr>
        <w:ind w:firstLine="284"/>
        <w:rPr>
          <w:rFonts w:cs="Arial"/>
          <w:sz w:val="20"/>
        </w:rPr>
      </w:pPr>
      <w:r w:rsidRPr="00484DB6">
        <w:rPr>
          <w:rFonts w:cs="Arial"/>
          <w:sz w:val="20"/>
        </w:rPr>
        <w:t xml:space="preserve">Nel caso di reti e tralicci formati con elementi base prodotti in altro stabilimento, deve essere apposta su ogni confezione di reti o tralicci un’apposita etichettatura con indicati tutti i dati necessari per la corretta identificazione del prodotto e del fabbricante delle reti e dei tralicci stessi. </w:t>
      </w:r>
    </w:p>
    <w:p w:rsidR="00F252A3" w:rsidRPr="00484DB6" w:rsidRDefault="00F252A3" w:rsidP="00F252A3">
      <w:pPr>
        <w:ind w:firstLine="284"/>
        <w:rPr>
          <w:rFonts w:cs="Arial"/>
          <w:sz w:val="20"/>
        </w:rPr>
      </w:pPr>
      <w:r w:rsidRPr="00484DB6">
        <w:rPr>
          <w:rFonts w:cs="Arial"/>
          <w:sz w:val="20"/>
        </w:rPr>
        <w:t>Il Direttore dei Lavori, al momento dell’accettazione della fornitura in cantiere, verificherà la presenza della predetta etichettatura.</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Controlli di accettazione in cantiere</w:t>
      </w:r>
    </w:p>
    <w:p w:rsidR="00F252A3" w:rsidRPr="00484DB6" w:rsidRDefault="00F252A3" w:rsidP="00F252A3">
      <w:pPr>
        <w:ind w:firstLine="284"/>
        <w:rPr>
          <w:rFonts w:cs="Arial"/>
          <w:sz w:val="20"/>
        </w:rPr>
      </w:pPr>
      <w:r w:rsidRPr="00484DB6">
        <w:rPr>
          <w:rFonts w:cs="Arial"/>
          <w:sz w:val="20"/>
        </w:rPr>
        <w:t xml:space="preserve">I controlli di accettazione in cantiere sono obbligatori e secondo quanto disposto al punto 11.3.2.12 del D.M. 17 gennaio 2018 devono essere effettuati entro 30 giorni dalla data di consegna del materiale a cura di un laboratorio di cui all’art. 59 del DPR n. 380/2001. </w:t>
      </w:r>
    </w:p>
    <w:p w:rsidR="00F252A3" w:rsidRPr="00484DB6" w:rsidRDefault="00F252A3" w:rsidP="00F252A3">
      <w:pPr>
        <w:ind w:firstLine="284"/>
        <w:rPr>
          <w:rFonts w:cs="Arial"/>
          <w:sz w:val="20"/>
        </w:rPr>
      </w:pPr>
      <w:r w:rsidRPr="00484DB6">
        <w:rPr>
          <w:rFonts w:cs="Arial"/>
          <w:sz w:val="20"/>
        </w:rPr>
        <w:t>Essi devono essere eseguiti in ragione di 3 campioni ogni 30 t di acciaio impiegato della stessa classe proveniente dallo stesso stabilimento o Centro di trasformazione, anche se con forniture successive.</w:t>
      </w:r>
    </w:p>
    <w:p w:rsidR="00F252A3" w:rsidRPr="00484DB6" w:rsidRDefault="00F252A3" w:rsidP="00F252A3">
      <w:pPr>
        <w:ind w:firstLine="284"/>
        <w:rPr>
          <w:rFonts w:cs="Arial"/>
          <w:sz w:val="20"/>
        </w:rPr>
      </w:pPr>
      <w:r w:rsidRPr="00484DB6">
        <w:rPr>
          <w:rFonts w:cs="Arial"/>
          <w:sz w:val="20"/>
        </w:rPr>
        <w:t>I campioni devono essere ricavati da barre di uno stesso diametro o della stessa tipologia (in termini di diametro e dimensioni) per reti e tralicci, e recare il marchio di provenienza.</w:t>
      </w:r>
    </w:p>
    <w:p w:rsidR="00F252A3" w:rsidRPr="00484DB6" w:rsidRDefault="00F252A3" w:rsidP="00F252A3">
      <w:pPr>
        <w:ind w:firstLine="284"/>
        <w:rPr>
          <w:rFonts w:cs="Arial"/>
          <w:sz w:val="20"/>
        </w:rPr>
      </w:pPr>
      <w:r w:rsidRPr="00484DB6">
        <w:rPr>
          <w:rFonts w:cs="Arial"/>
          <w:sz w:val="20"/>
        </w:rPr>
        <w:t>Il prelievo dei campioni va effettuato alla presenza del Direttore dei Lavori o di tecnico di sua fiducia che provvede alla redazione di apposito verbale di prelievo ed alla identificazione dei provini mediante sigle, etichettature indelebili, ecc.</w:t>
      </w:r>
    </w:p>
    <w:p w:rsidR="00F252A3" w:rsidRPr="00484DB6" w:rsidRDefault="00F252A3" w:rsidP="00F252A3">
      <w:pPr>
        <w:ind w:firstLine="284"/>
        <w:rPr>
          <w:rFonts w:cs="Arial"/>
          <w:sz w:val="20"/>
        </w:rPr>
      </w:pPr>
      <w:r w:rsidRPr="00484DB6">
        <w:rPr>
          <w:rFonts w:cs="Arial"/>
          <w:sz w:val="20"/>
        </w:rPr>
        <w:t>Qualora la fornitura, di elementi sagomati o assemblati, provenga da un Centro di trasformazione, il Direttore dei Lavori, dopo essersi accertato preliminarmente che il suddetto Centro di trasformazione sia in possesso di tutti i requisiti previsti al punto 11.3.1.7 del D.M. 17 gennaio 2018, può recarsi presso il medesimo Centro di trasformazione ed effettuare in stabilimento tutti i controlli di cui sopra. In tal caso il prelievo dei campioni viene effettuato dal Direttore tecnico del centro di trasformazione secondo le disposizioni del Direttore dei Lavori; quest'ultimo deve assicurare, mediante sigle, etichettature indelebili, ecc., che i campioni inviati per le prove al laboratorio incaricato siano effettivamente quelli da lui prelevati, nonché sottoscrivere la relativa richiesta di prove.</w:t>
      </w:r>
    </w:p>
    <w:p w:rsidR="00F252A3" w:rsidRPr="00484DB6" w:rsidRDefault="00F252A3" w:rsidP="00F252A3">
      <w:pPr>
        <w:ind w:firstLine="284"/>
        <w:rPr>
          <w:rFonts w:cs="Arial"/>
          <w:sz w:val="20"/>
        </w:rPr>
      </w:pPr>
      <w:r w:rsidRPr="00484DB6">
        <w:rPr>
          <w:rFonts w:cs="Arial"/>
          <w:sz w:val="20"/>
        </w:rPr>
        <w:t>La domanda di prove al Laboratorio autorizzato deve essere sottoscritta dal Direttore dei Lavori e deve contenere indicazioni sulle strutture interessate da ciascun prelievo.</w:t>
      </w:r>
    </w:p>
    <w:p w:rsidR="00F252A3" w:rsidRPr="00484DB6" w:rsidRDefault="00F252A3" w:rsidP="00F252A3">
      <w:pPr>
        <w:rPr>
          <w:rFonts w:cs="Arial"/>
        </w:rPr>
      </w:pPr>
    </w:p>
    <w:p w:rsidR="00F252A3" w:rsidRPr="00484DB6" w:rsidRDefault="00F252A3" w:rsidP="00F252A3">
      <w:pPr>
        <w:rPr>
          <w:rFonts w:cs="Arial"/>
          <w:b/>
          <w:sz w:val="20"/>
        </w:rPr>
      </w:pPr>
      <w:bookmarkStart w:id="28" w:name="151"/>
      <w:bookmarkEnd w:id="28"/>
      <w:r w:rsidRPr="00484DB6">
        <w:rPr>
          <w:rFonts w:cs="Arial"/>
          <w:b/>
          <w:sz w:val="20"/>
        </w:rPr>
        <w:t>4.7.3 Acciaio per strutture metalliche e per strutture composte</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Acciai laminati</w:t>
      </w:r>
    </w:p>
    <w:p w:rsidR="00F252A3" w:rsidRPr="00484DB6" w:rsidRDefault="00F252A3" w:rsidP="00F252A3">
      <w:pPr>
        <w:ind w:firstLine="284"/>
        <w:rPr>
          <w:rFonts w:cs="Arial"/>
          <w:sz w:val="20"/>
        </w:rPr>
      </w:pPr>
      <w:r w:rsidRPr="00484DB6">
        <w:rPr>
          <w:rFonts w:cs="Arial"/>
          <w:sz w:val="20"/>
        </w:rPr>
        <w:t>Gli acciai laminati di uso generale per la realizzazione di strutture metalliche e per le strutture composte comprendono:</w:t>
      </w:r>
    </w:p>
    <w:p w:rsidR="00F252A3" w:rsidRPr="00484DB6" w:rsidRDefault="00F252A3" w:rsidP="00F252A3">
      <w:pPr>
        <w:ind w:firstLine="284"/>
        <w:rPr>
          <w:rFonts w:cs="Arial"/>
          <w:sz w:val="20"/>
        </w:rPr>
      </w:pPr>
      <w:r w:rsidRPr="00484DB6">
        <w:rPr>
          <w:rFonts w:cs="Arial"/>
          <w:sz w:val="20"/>
        </w:rPr>
        <w:t>Prodotti lunghi</w:t>
      </w:r>
    </w:p>
    <w:p w:rsidR="00F252A3" w:rsidRPr="00484DB6" w:rsidRDefault="00F252A3" w:rsidP="00F252A3">
      <w:pPr>
        <w:ind w:firstLine="284"/>
        <w:rPr>
          <w:rFonts w:cs="Arial"/>
          <w:sz w:val="20"/>
        </w:rPr>
      </w:pPr>
      <w:r w:rsidRPr="00484DB6">
        <w:rPr>
          <w:rFonts w:cs="Arial"/>
          <w:sz w:val="20"/>
        </w:rPr>
        <w:t>- laminati mercantili (angolari, L, T, piatti e altri prodotti di forma);</w:t>
      </w:r>
    </w:p>
    <w:p w:rsidR="00F252A3" w:rsidRPr="00484DB6" w:rsidRDefault="00F252A3" w:rsidP="00F252A3">
      <w:pPr>
        <w:ind w:firstLine="284"/>
        <w:rPr>
          <w:rFonts w:cs="Arial"/>
          <w:sz w:val="20"/>
        </w:rPr>
      </w:pPr>
      <w:r w:rsidRPr="00484DB6">
        <w:rPr>
          <w:rFonts w:cs="Arial"/>
          <w:sz w:val="20"/>
        </w:rPr>
        <w:t>- travi ad ali parallele del tipo HE e IPE, travi IPN;</w:t>
      </w:r>
    </w:p>
    <w:p w:rsidR="00F252A3" w:rsidRPr="00484DB6" w:rsidRDefault="00F252A3" w:rsidP="00F252A3">
      <w:pPr>
        <w:ind w:firstLine="284"/>
        <w:rPr>
          <w:rFonts w:cs="Arial"/>
          <w:sz w:val="20"/>
        </w:rPr>
      </w:pPr>
      <w:r w:rsidRPr="00484DB6">
        <w:rPr>
          <w:rFonts w:cs="Arial"/>
          <w:sz w:val="20"/>
        </w:rPr>
        <w:t>- laminati ad U</w:t>
      </w:r>
    </w:p>
    <w:p w:rsidR="00F252A3" w:rsidRPr="00484DB6" w:rsidRDefault="00F252A3" w:rsidP="00F252A3">
      <w:pPr>
        <w:ind w:firstLine="284"/>
        <w:rPr>
          <w:rFonts w:cs="Arial"/>
          <w:sz w:val="20"/>
        </w:rPr>
      </w:pPr>
      <w:r w:rsidRPr="00484DB6">
        <w:rPr>
          <w:rFonts w:cs="Arial"/>
          <w:sz w:val="20"/>
        </w:rPr>
        <w:t>Prodotti piani</w:t>
      </w:r>
    </w:p>
    <w:p w:rsidR="00F252A3" w:rsidRPr="00484DB6" w:rsidRDefault="00F252A3" w:rsidP="00F252A3">
      <w:pPr>
        <w:ind w:firstLine="284"/>
        <w:rPr>
          <w:rFonts w:cs="Arial"/>
          <w:sz w:val="20"/>
        </w:rPr>
      </w:pPr>
      <w:r w:rsidRPr="00484DB6">
        <w:rPr>
          <w:rFonts w:cs="Arial"/>
          <w:sz w:val="20"/>
        </w:rPr>
        <w:t>- lamiere e piatti</w:t>
      </w:r>
    </w:p>
    <w:p w:rsidR="00F252A3" w:rsidRPr="00484DB6" w:rsidRDefault="00F252A3" w:rsidP="00F252A3">
      <w:pPr>
        <w:ind w:firstLine="284"/>
        <w:rPr>
          <w:rFonts w:cs="Arial"/>
          <w:sz w:val="20"/>
        </w:rPr>
      </w:pPr>
      <w:r w:rsidRPr="00484DB6">
        <w:rPr>
          <w:rFonts w:cs="Arial"/>
          <w:sz w:val="20"/>
        </w:rPr>
        <w:t>- nastri</w:t>
      </w:r>
    </w:p>
    <w:p w:rsidR="00F252A3" w:rsidRPr="00484DB6" w:rsidRDefault="00F252A3" w:rsidP="00F252A3">
      <w:pPr>
        <w:ind w:firstLine="284"/>
        <w:rPr>
          <w:rFonts w:cs="Arial"/>
          <w:sz w:val="20"/>
        </w:rPr>
      </w:pPr>
      <w:r w:rsidRPr="00484DB6">
        <w:rPr>
          <w:rFonts w:cs="Arial"/>
          <w:sz w:val="20"/>
        </w:rPr>
        <w:t>Profilati cavi</w:t>
      </w:r>
    </w:p>
    <w:p w:rsidR="00F252A3" w:rsidRPr="00484DB6" w:rsidRDefault="00F252A3" w:rsidP="00F252A3">
      <w:pPr>
        <w:ind w:firstLine="284"/>
        <w:rPr>
          <w:rFonts w:cs="Arial"/>
          <w:sz w:val="20"/>
        </w:rPr>
      </w:pPr>
      <w:r w:rsidRPr="00484DB6">
        <w:rPr>
          <w:rFonts w:cs="Arial"/>
          <w:sz w:val="20"/>
        </w:rPr>
        <w:t>- tubi prodotti a caldo</w:t>
      </w:r>
    </w:p>
    <w:p w:rsidR="00F252A3" w:rsidRPr="00484DB6" w:rsidRDefault="00F252A3" w:rsidP="00F252A3">
      <w:pPr>
        <w:ind w:firstLine="284"/>
        <w:rPr>
          <w:rFonts w:cs="Arial"/>
          <w:sz w:val="20"/>
        </w:rPr>
      </w:pPr>
      <w:r w:rsidRPr="00484DB6">
        <w:rPr>
          <w:rFonts w:cs="Arial"/>
          <w:sz w:val="20"/>
        </w:rPr>
        <w:t>Prodotti derivati</w:t>
      </w:r>
    </w:p>
    <w:p w:rsidR="00F252A3" w:rsidRPr="00484DB6" w:rsidRDefault="00F252A3" w:rsidP="00F252A3">
      <w:pPr>
        <w:ind w:firstLine="284"/>
        <w:rPr>
          <w:rFonts w:cs="Arial"/>
          <w:sz w:val="20"/>
        </w:rPr>
      </w:pPr>
      <w:r w:rsidRPr="00484DB6">
        <w:rPr>
          <w:rFonts w:cs="Arial"/>
          <w:sz w:val="20"/>
        </w:rPr>
        <w:t>- travi saldate (ricavate da lamiere o da nastri a caldo);</w:t>
      </w:r>
    </w:p>
    <w:p w:rsidR="00F252A3" w:rsidRPr="00484DB6" w:rsidRDefault="00F252A3" w:rsidP="00F252A3">
      <w:pPr>
        <w:ind w:firstLine="284"/>
        <w:rPr>
          <w:rFonts w:cs="Arial"/>
          <w:sz w:val="20"/>
        </w:rPr>
      </w:pPr>
      <w:r w:rsidRPr="00484DB6">
        <w:rPr>
          <w:rFonts w:cs="Arial"/>
          <w:sz w:val="20"/>
        </w:rPr>
        <w:t>- profilati a freddo (ricavati da nastri a caldo);</w:t>
      </w:r>
    </w:p>
    <w:p w:rsidR="00F252A3" w:rsidRPr="00484DB6" w:rsidRDefault="00F252A3" w:rsidP="00F252A3">
      <w:pPr>
        <w:ind w:firstLine="284"/>
        <w:rPr>
          <w:rFonts w:cs="Arial"/>
          <w:sz w:val="20"/>
        </w:rPr>
      </w:pPr>
      <w:r w:rsidRPr="00484DB6">
        <w:rPr>
          <w:rFonts w:cs="Arial"/>
          <w:sz w:val="20"/>
        </w:rPr>
        <w:t>- tubi saldati (cilindrici o di forma ricavati da nastri a caldo);</w:t>
      </w:r>
    </w:p>
    <w:p w:rsidR="00F252A3" w:rsidRPr="00484DB6" w:rsidRDefault="00F252A3" w:rsidP="00F252A3">
      <w:pPr>
        <w:ind w:firstLine="284"/>
        <w:rPr>
          <w:rFonts w:cs="Arial"/>
          <w:sz w:val="20"/>
        </w:rPr>
      </w:pPr>
      <w:r w:rsidRPr="00484DB6">
        <w:rPr>
          <w:rFonts w:cs="Arial"/>
          <w:sz w:val="20"/>
        </w:rPr>
        <w:t>- lamiere grecate (ricavate da nastri a caldo).</w:t>
      </w:r>
    </w:p>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b/>
          <w:sz w:val="20"/>
        </w:rPr>
        <w:t>Acciaio per strutture saldate</w:t>
      </w:r>
    </w:p>
    <w:p w:rsidR="00F252A3" w:rsidRPr="00484DB6" w:rsidRDefault="00F252A3" w:rsidP="00F252A3">
      <w:pPr>
        <w:rPr>
          <w:rFonts w:cs="Arial"/>
          <w:sz w:val="20"/>
        </w:rPr>
      </w:pPr>
      <w:r w:rsidRPr="00484DB6">
        <w:rPr>
          <w:rFonts w:cs="Arial"/>
          <w:sz w:val="20"/>
        </w:rPr>
        <w:t>Gli acciai per strutture saldate, oltre a soddisfare le condizioni indicate al punto 11.3.4.1 del D.M. 17 gennaio 2018, devono avere composizione chimica conforme a quanto riportato nelle norme europee armonizzate applicabili, di cui al punto 11.3.4.1 del citato decreto.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Acciaio per getti</w:t>
      </w:r>
    </w:p>
    <w:p w:rsidR="00F252A3" w:rsidRPr="00484DB6" w:rsidRDefault="00F252A3" w:rsidP="00F252A3">
      <w:pPr>
        <w:rPr>
          <w:rFonts w:cs="Arial"/>
          <w:sz w:val="20"/>
        </w:rPr>
      </w:pPr>
      <w:r w:rsidRPr="00484DB6">
        <w:rPr>
          <w:rFonts w:cs="Arial"/>
          <w:sz w:val="20"/>
        </w:rPr>
        <w:t xml:space="preserve">Per l'esecuzione di parti in getti si devono impiegare acciai conformi alla norma UNI EN 10293. </w:t>
      </w:r>
    </w:p>
    <w:p w:rsidR="00F252A3" w:rsidRPr="00484DB6" w:rsidRDefault="00F252A3" w:rsidP="00F252A3">
      <w:pPr>
        <w:rPr>
          <w:rFonts w:cs="Arial"/>
          <w:sz w:val="20"/>
        </w:rPr>
      </w:pPr>
      <w:r w:rsidRPr="00484DB6">
        <w:rPr>
          <w:rFonts w:cs="Arial"/>
          <w:sz w:val="20"/>
        </w:rPr>
        <w:t>Quando tali acciai debbano essere saldati, valgono le stesse limitazioni di composizione chimica previste per gli acciai laminati di resistenza similare.</w:t>
      </w:r>
    </w:p>
    <w:p w:rsidR="00F252A3" w:rsidRPr="00484DB6" w:rsidRDefault="00F252A3" w:rsidP="00F252A3">
      <w:pPr>
        <w:rPr>
          <w:rFonts w:cs="Arial"/>
          <w:sz w:val="20"/>
        </w:rPr>
      </w:pPr>
    </w:p>
    <w:p w:rsidR="00F252A3" w:rsidRPr="00484DB6" w:rsidRDefault="00F252A3" w:rsidP="00F252A3">
      <w:pPr>
        <w:rPr>
          <w:rFonts w:cs="Arial"/>
          <w:b/>
          <w:i/>
          <w:sz w:val="20"/>
        </w:rPr>
      </w:pPr>
      <w:r w:rsidRPr="00484DB6">
        <w:rPr>
          <w:rFonts w:cs="Arial"/>
          <w:b/>
          <w:sz w:val="20"/>
        </w:rPr>
        <w:t>Processo di saldatura</w:t>
      </w:r>
    </w:p>
    <w:p w:rsidR="00F252A3" w:rsidRPr="00484DB6" w:rsidRDefault="00F252A3" w:rsidP="00F252A3">
      <w:pPr>
        <w:ind w:firstLine="284"/>
        <w:rPr>
          <w:rFonts w:cs="Arial"/>
          <w:sz w:val="20"/>
        </w:rPr>
      </w:pPr>
      <w:r w:rsidRPr="00484DB6">
        <w:rPr>
          <w:rFonts w:cs="Arial"/>
          <w:sz w:val="20"/>
        </w:rPr>
        <w:t>La saldatura degli acciai dovrà avvenire con uno dei procedimenti all'arco elettrico codificati secondo la norma UNI EN ISO 4063. È ammesso l'uso di procedimenti diversi purché sostenuti da adeguata documentazione teorica e sperimentale.</w:t>
      </w:r>
    </w:p>
    <w:p w:rsidR="00F252A3" w:rsidRPr="00484DB6" w:rsidRDefault="00F252A3" w:rsidP="00F252A3">
      <w:pPr>
        <w:ind w:firstLine="284"/>
        <w:rPr>
          <w:rFonts w:cs="Arial"/>
          <w:sz w:val="20"/>
        </w:rPr>
      </w:pPr>
      <w:r w:rsidRPr="00484DB6">
        <w:rPr>
          <w:rFonts w:cs="Arial"/>
          <w:sz w:val="20"/>
        </w:rPr>
        <w:t>I saldatori nei procedimenti semiautomatici e manuali dovranno essere qualificati secondo la norma UNI EN ISO 9606-1 da parte di un Ente terzo. Ad integrazione di quanto richiesto nella norma UNI EN ISO 9606-1, i saldatori che eseguono giunti a T con cordoni d'angolo dovranno essere specificamente qualificati e non potranno essere qualificati soltanto mediante l'esecuzione di giunti testa-testa.</w:t>
      </w:r>
    </w:p>
    <w:p w:rsidR="00F252A3" w:rsidRPr="00484DB6" w:rsidRDefault="00F252A3" w:rsidP="00F252A3">
      <w:pPr>
        <w:ind w:firstLine="284"/>
        <w:rPr>
          <w:rFonts w:cs="Arial"/>
          <w:sz w:val="20"/>
        </w:rPr>
      </w:pPr>
      <w:r w:rsidRPr="00484DB6">
        <w:rPr>
          <w:rFonts w:cs="Arial"/>
          <w:sz w:val="20"/>
        </w:rPr>
        <w:t xml:space="preserve">Gli operatori dei procedimenti automatici o robotizzati dovranno essere certificati secondo la norma UNI EN ISO 14732. </w:t>
      </w:r>
    </w:p>
    <w:p w:rsidR="00F252A3" w:rsidRPr="00484DB6" w:rsidRDefault="00F252A3" w:rsidP="00F252A3">
      <w:pPr>
        <w:ind w:firstLine="284"/>
        <w:rPr>
          <w:rFonts w:cs="Arial"/>
          <w:sz w:val="20"/>
        </w:rPr>
      </w:pPr>
      <w:r w:rsidRPr="00484DB6">
        <w:rPr>
          <w:rFonts w:cs="Arial"/>
          <w:sz w:val="20"/>
        </w:rPr>
        <w:t>Tutti i procedimenti di saldatura dovranno essere qualificati mediante WPQR (qualifica di procedimento di saldatura) secondo la norma UNI EN ISO 15614-1.</w:t>
      </w:r>
    </w:p>
    <w:p w:rsidR="00F252A3" w:rsidRPr="00484DB6" w:rsidRDefault="00F252A3" w:rsidP="00F252A3">
      <w:pPr>
        <w:ind w:firstLine="284"/>
        <w:rPr>
          <w:rFonts w:cs="Arial"/>
          <w:sz w:val="20"/>
        </w:rPr>
      </w:pPr>
      <w:r w:rsidRPr="00484DB6">
        <w:rPr>
          <w:rFonts w:cs="Arial"/>
          <w:sz w:val="20"/>
        </w:rPr>
        <w:t>Le durezze eseguite sulle macrografie non dovranno essere superiori a 350 HV30.</w:t>
      </w:r>
    </w:p>
    <w:p w:rsidR="00F252A3" w:rsidRPr="00484DB6" w:rsidRDefault="00F252A3" w:rsidP="00F252A3">
      <w:pPr>
        <w:ind w:firstLine="284"/>
        <w:rPr>
          <w:rFonts w:cs="Arial"/>
          <w:sz w:val="20"/>
        </w:rPr>
      </w:pPr>
      <w:r w:rsidRPr="00484DB6">
        <w:rPr>
          <w:rFonts w:cs="Arial"/>
          <w:sz w:val="20"/>
        </w:rPr>
        <w:t>Per la saldatura ad arco di prigionieri di materiali metallici (saldatura ad innesco mediante sollevamento e saldatura a scarica di condensatori ad innesco sulla punta) si applica la norma UNI EN ISO 14555; valgono perciò i requisiti di qualità di cui al prospetto A1 della appendice A della stessa norma.</w:t>
      </w:r>
    </w:p>
    <w:p w:rsidR="00F252A3" w:rsidRPr="00484DB6" w:rsidRDefault="00F252A3" w:rsidP="00F252A3">
      <w:pPr>
        <w:ind w:firstLine="284"/>
        <w:rPr>
          <w:rFonts w:cs="Arial"/>
          <w:sz w:val="20"/>
        </w:rPr>
      </w:pPr>
      <w:r w:rsidRPr="00484DB6">
        <w:rPr>
          <w:rFonts w:cs="Arial"/>
          <w:sz w:val="20"/>
        </w:rPr>
        <w:t>Le prove di qualifica dei saldatori, degli operatori e dei procedimenti dovranno essere eseguite da un Ente terzo; in assenza di prescrizioni in proposito l'Ente sarà scelto dal costruttore secondo criteri di competenza e di indipendenza.</w:t>
      </w:r>
    </w:p>
    <w:p w:rsidR="00F252A3" w:rsidRPr="00484DB6" w:rsidRDefault="00F252A3" w:rsidP="00F252A3">
      <w:pPr>
        <w:ind w:firstLine="284"/>
        <w:rPr>
          <w:rFonts w:cs="Arial"/>
          <w:sz w:val="20"/>
        </w:rPr>
      </w:pPr>
      <w:r w:rsidRPr="00484DB6">
        <w:rPr>
          <w:rFonts w:cs="Arial"/>
          <w:sz w:val="20"/>
        </w:rPr>
        <w:t>Sono richieste caratteristiche di duttilità, snervamento, resistenza e tenacità in zona fusa e in zona termica alterata non inferiori a quelle del materiale base.</w:t>
      </w:r>
    </w:p>
    <w:p w:rsidR="00F252A3" w:rsidRPr="00484DB6" w:rsidRDefault="00F252A3" w:rsidP="00F252A3">
      <w:pPr>
        <w:ind w:firstLine="284"/>
        <w:rPr>
          <w:rFonts w:cs="Arial"/>
          <w:sz w:val="20"/>
        </w:rPr>
      </w:pPr>
      <w:r w:rsidRPr="00484DB6">
        <w:rPr>
          <w:rFonts w:cs="Arial"/>
          <w:sz w:val="20"/>
        </w:rPr>
        <w:t xml:space="preserve">Nell'esecuzione delle saldature dovranno inoltre essere rispettate le norme UNI EN 1011 parti 1 e 2 per gli acciai </w:t>
      </w:r>
      <w:proofErr w:type="spellStart"/>
      <w:r w:rsidRPr="00484DB6">
        <w:rPr>
          <w:rFonts w:cs="Arial"/>
          <w:sz w:val="20"/>
        </w:rPr>
        <w:t>ferritici</w:t>
      </w:r>
      <w:proofErr w:type="spellEnd"/>
      <w:r w:rsidRPr="00484DB6">
        <w:rPr>
          <w:rFonts w:cs="Arial"/>
          <w:sz w:val="20"/>
        </w:rPr>
        <w:t xml:space="preserve"> e della parte 3 per gli acciai inossidabili. Per la preparazione dei lembi si applicherà, salvo casi particolari, la norma UNI EN ISO 9692-1.</w:t>
      </w:r>
    </w:p>
    <w:p w:rsidR="00F252A3" w:rsidRPr="00484DB6" w:rsidRDefault="00F252A3" w:rsidP="00F252A3">
      <w:pPr>
        <w:ind w:firstLine="284"/>
        <w:rPr>
          <w:rFonts w:cs="Arial"/>
          <w:sz w:val="20"/>
        </w:rPr>
      </w:pPr>
      <w:r w:rsidRPr="00484DB6">
        <w:rPr>
          <w:rFonts w:cs="Arial"/>
          <w:sz w:val="20"/>
        </w:rPr>
        <w:t>Le saldature saranno sottoposte a controlli non distruttivi finali per accertare la corrispondenza ai livelli di qualità stabiliti dal progettista sulla base delle norme applicate per la progettazione.</w:t>
      </w:r>
    </w:p>
    <w:p w:rsidR="00F252A3" w:rsidRPr="00484DB6" w:rsidRDefault="00F252A3" w:rsidP="00F252A3">
      <w:pPr>
        <w:ind w:firstLine="284"/>
        <w:rPr>
          <w:rFonts w:cs="Arial"/>
          <w:sz w:val="20"/>
        </w:rPr>
      </w:pPr>
      <w:r w:rsidRPr="00484DB6">
        <w:rPr>
          <w:rFonts w:cs="Arial"/>
          <w:sz w:val="20"/>
        </w:rPr>
        <w:t>In assenza di tali dati per strutture non soggette a fatica si adotterà il livello C della norma UNI EN ISO 5817 e il livello B per strutture soggette a fatica.</w:t>
      </w:r>
    </w:p>
    <w:p w:rsidR="00F252A3" w:rsidRPr="00484DB6" w:rsidRDefault="00F252A3" w:rsidP="00F252A3">
      <w:pPr>
        <w:ind w:firstLine="284"/>
        <w:rPr>
          <w:rFonts w:cs="Arial"/>
          <w:sz w:val="20"/>
        </w:rPr>
      </w:pPr>
      <w:r w:rsidRPr="00484DB6">
        <w:rPr>
          <w:rFonts w:cs="Arial"/>
          <w:sz w:val="20"/>
        </w:rPr>
        <w:t>L'entità ed il tipo di tali controlli, distruttivi e non distruttivi, in aggiunta a quello visivo al 100%, saranno definiti dal Collaudatore e dal Direttore dei Lavori; per i cordoni ad angolo o giunti a parziale penetrazione si useranno metodi di superficie (ad es. liquidi penetranti o polveri magnetiche), mentre per i giunti a piena penetrazione, oltre a quanto sopra previsto, si useranno metodi volumetrici e cioè raggi X o gamma o ultrasuoni per i giunti testa a testa e solo ultrasuoni per i giunti a T a piena penetrazione.</w:t>
      </w:r>
    </w:p>
    <w:p w:rsidR="00F252A3" w:rsidRPr="00484DB6" w:rsidRDefault="00F252A3" w:rsidP="00F252A3">
      <w:pPr>
        <w:ind w:firstLine="284"/>
        <w:rPr>
          <w:rFonts w:cs="Arial"/>
          <w:sz w:val="20"/>
        </w:rPr>
      </w:pPr>
      <w:r w:rsidRPr="00484DB6">
        <w:rPr>
          <w:rFonts w:cs="Arial"/>
          <w:sz w:val="20"/>
        </w:rPr>
        <w:t>Per le modalità di esecuzione dei controlli ed i livelli di accettabilità si potrà fare utile riferimento alle prescrizioni della norma UNI EN ISO 17635.</w:t>
      </w:r>
    </w:p>
    <w:p w:rsidR="00F252A3" w:rsidRPr="00484DB6" w:rsidRDefault="00F252A3" w:rsidP="00F252A3">
      <w:pPr>
        <w:ind w:firstLine="284"/>
        <w:rPr>
          <w:rFonts w:cs="Arial"/>
          <w:sz w:val="20"/>
        </w:rPr>
      </w:pPr>
      <w:r w:rsidRPr="00484DB6">
        <w:rPr>
          <w:rFonts w:cs="Arial"/>
          <w:sz w:val="20"/>
        </w:rPr>
        <w:t>Tutti gli operatori che eseguiranno i controlli dovranno essere qualificati secondo la norma UNI EN ISO 9712 almeno di secondo livello.</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Bulloni e chiodi</w:t>
      </w:r>
    </w:p>
    <w:p w:rsidR="00F252A3" w:rsidRPr="00484DB6" w:rsidRDefault="00F252A3" w:rsidP="00F252A3">
      <w:pPr>
        <w:rPr>
          <w:rFonts w:cs="Arial"/>
          <w:sz w:val="20"/>
        </w:rPr>
      </w:pPr>
      <w:r w:rsidRPr="00484DB6">
        <w:rPr>
          <w:rFonts w:cs="Arial"/>
          <w:sz w:val="20"/>
        </w:rPr>
        <w:t>I bulloni sono organi di collegamento tra elementi metallici, introdotti in fori opportunamente predisposti, composti dalle seguenti parti:</w:t>
      </w:r>
    </w:p>
    <w:p w:rsidR="00F252A3" w:rsidRPr="00484DB6" w:rsidRDefault="00F252A3" w:rsidP="00F252A3">
      <w:pPr>
        <w:rPr>
          <w:rFonts w:cs="Arial"/>
          <w:sz w:val="20"/>
        </w:rPr>
      </w:pPr>
      <w:r w:rsidRPr="00484DB6">
        <w:rPr>
          <w:rFonts w:cs="Arial"/>
          <w:sz w:val="20"/>
        </w:rPr>
        <w:t>- gambo, completamente o parzialmente filettato con testa esagonale (vite);</w:t>
      </w:r>
    </w:p>
    <w:p w:rsidR="00F252A3" w:rsidRPr="00484DB6" w:rsidRDefault="00F252A3" w:rsidP="00F252A3">
      <w:pPr>
        <w:rPr>
          <w:rFonts w:cs="Arial"/>
          <w:sz w:val="20"/>
        </w:rPr>
      </w:pPr>
      <w:r w:rsidRPr="00484DB6">
        <w:rPr>
          <w:rFonts w:cs="Arial"/>
          <w:sz w:val="20"/>
        </w:rPr>
        <w:t>- dado di forma esagonale, avvitato nella parte filettata della vite;</w:t>
      </w:r>
    </w:p>
    <w:p w:rsidR="00F252A3" w:rsidRPr="00484DB6" w:rsidRDefault="00F252A3" w:rsidP="00F252A3">
      <w:pPr>
        <w:rPr>
          <w:rFonts w:cs="Arial"/>
          <w:sz w:val="20"/>
        </w:rPr>
      </w:pPr>
      <w:r w:rsidRPr="00484DB6">
        <w:rPr>
          <w:rFonts w:cs="Arial"/>
          <w:sz w:val="20"/>
        </w:rPr>
        <w:t>- rondella (o rosetta) del tipo elastico o rigido.</w:t>
      </w:r>
    </w:p>
    <w:p w:rsidR="00F252A3" w:rsidRPr="00484DB6" w:rsidRDefault="00F252A3" w:rsidP="00F252A3">
      <w:pPr>
        <w:rPr>
          <w:rFonts w:cs="Arial"/>
          <w:sz w:val="20"/>
        </w:rPr>
      </w:pPr>
      <w:r w:rsidRPr="00484DB6">
        <w:rPr>
          <w:rFonts w:cs="Arial"/>
          <w:sz w:val="20"/>
        </w:rPr>
        <w:t>In presenza di vibrazioni dovute a carichi dinamici, per evitare lo svitamento del dado, possono essere applicate rondelle elastiche oppure dei controdadi.</w:t>
      </w:r>
    </w:p>
    <w:p w:rsidR="00F252A3" w:rsidRPr="00484DB6" w:rsidRDefault="00F252A3" w:rsidP="00F252A3">
      <w:pPr>
        <w:rPr>
          <w:rFonts w:cs="Arial"/>
          <w:b/>
          <w:sz w:val="20"/>
        </w:rPr>
      </w:pPr>
    </w:p>
    <w:p w:rsidR="00F252A3" w:rsidRPr="00484DB6" w:rsidRDefault="00F252A3" w:rsidP="00F252A3">
      <w:pPr>
        <w:rPr>
          <w:rFonts w:cs="Arial"/>
          <w:sz w:val="20"/>
        </w:rPr>
      </w:pPr>
      <w:r w:rsidRPr="00484DB6">
        <w:rPr>
          <w:rFonts w:cs="Arial"/>
          <w:b/>
          <w:sz w:val="20"/>
        </w:rPr>
        <w:lastRenderedPageBreak/>
        <w:t>Bulloni "non a serraggio controllato"</w:t>
      </w:r>
    </w:p>
    <w:p w:rsidR="00F252A3" w:rsidRPr="00484DB6" w:rsidRDefault="00F252A3" w:rsidP="00F252A3">
      <w:pPr>
        <w:rPr>
          <w:rFonts w:cs="Arial"/>
          <w:sz w:val="20"/>
        </w:rPr>
      </w:pPr>
      <w:r w:rsidRPr="00484DB6">
        <w:rPr>
          <w:rFonts w:cs="Arial"/>
          <w:sz w:val="20"/>
        </w:rPr>
        <w:t>Agli assiemi Vite/Dado/Rondella impiegati nelle giunzioni ‘non precaricate’ si applica quanto specificato al punto A del paragrafo 11.1 in conformità alla norma europea armonizzata UNI EN 15048-1.</w:t>
      </w:r>
    </w:p>
    <w:p w:rsidR="00F252A3" w:rsidRPr="00484DB6" w:rsidRDefault="00F252A3" w:rsidP="00F252A3">
      <w:pPr>
        <w:rPr>
          <w:rFonts w:cs="Arial"/>
          <w:sz w:val="20"/>
        </w:rPr>
      </w:pPr>
      <w:r w:rsidRPr="00484DB6">
        <w:rPr>
          <w:rFonts w:cs="Arial"/>
          <w:sz w:val="20"/>
        </w:rPr>
        <w:t>In alternativa anche gli assiemi ad alta resistenza conformi alla norma europea armonizzata UNI EN 14399-1 sono idonei per l'uso in giunzioni non precaricate.</w:t>
      </w:r>
    </w:p>
    <w:p w:rsidR="00F252A3" w:rsidRPr="00484DB6" w:rsidRDefault="00F252A3" w:rsidP="00F252A3">
      <w:pPr>
        <w:rPr>
          <w:rFonts w:cs="Arial"/>
          <w:sz w:val="20"/>
        </w:rPr>
      </w:pPr>
      <w:r w:rsidRPr="00484DB6">
        <w:rPr>
          <w:rFonts w:cs="Arial"/>
          <w:sz w:val="20"/>
        </w:rPr>
        <w:t>Viti, dadi e rondelle, in acciaio, devono essere associate come nella seguente tabella</w:t>
      </w:r>
    </w:p>
    <w:p w:rsidR="00F252A3" w:rsidRPr="00484DB6" w:rsidRDefault="00F252A3" w:rsidP="00F252A3">
      <w:pPr>
        <w:jc w:val="right"/>
        <w:rPr>
          <w:rFonts w:cs="Arial"/>
          <w:b/>
          <w:i/>
          <w:sz w:val="20"/>
        </w:rPr>
      </w:pPr>
      <w:r w:rsidRPr="00484DB6">
        <w:rPr>
          <w:rFonts w:cs="Arial"/>
          <w:b/>
          <w:i/>
          <w:sz w:val="20"/>
        </w:rPr>
        <w:t>Tabella 1</w:t>
      </w:r>
    </w:p>
    <w:tbl>
      <w:tblPr>
        <w:tblW w:w="0" w:type="auto"/>
        <w:tblInd w:w="65" w:type="dxa"/>
        <w:tblLayout w:type="fixed"/>
        <w:tblCellMar>
          <w:left w:w="65" w:type="dxa"/>
          <w:right w:w="65" w:type="dxa"/>
        </w:tblCellMar>
        <w:tblLook w:val="0000"/>
      </w:tblPr>
      <w:tblGrid>
        <w:gridCol w:w="2407"/>
        <w:gridCol w:w="2407"/>
        <w:gridCol w:w="2407"/>
        <w:gridCol w:w="2407"/>
      </w:tblGrid>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Viti</w:t>
            </w:r>
          </w:p>
        </w:tc>
        <w:tc>
          <w:tcPr>
            <w:tcW w:w="2407"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Dadi</w:t>
            </w:r>
          </w:p>
        </w:tc>
        <w:tc>
          <w:tcPr>
            <w:tcW w:w="2407"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Rondelle</w:t>
            </w:r>
          </w:p>
        </w:tc>
        <w:tc>
          <w:tcPr>
            <w:tcW w:w="2407"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Riferimento</w:t>
            </w:r>
          </w:p>
        </w:tc>
      </w:tr>
      <w:tr w:rsidR="00F252A3" w:rsidRPr="00484DB6" w:rsidTr="00B019FF">
        <w:trPr>
          <w:trHeight w:hRule="exact" w:val="563"/>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Classe di resistenza</w:t>
            </w:r>
          </w:p>
          <w:p w:rsidR="00F252A3" w:rsidRPr="00484DB6" w:rsidRDefault="00F252A3" w:rsidP="00B019FF">
            <w:pPr>
              <w:rPr>
                <w:rFonts w:cs="Arial"/>
                <w:sz w:val="16"/>
              </w:rPr>
            </w:pPr>
            <w:r w:rsidRPr="00484DB6">
              <w:rPr>
                <w:rFonts w:cs="Arial"/>
                <w:sz w:val="16"/>
              </w:rPr>
              <w:t>UNI EN ISO 898-1</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Classe di resistenza</w:t>
            </w:r>
          </w:p>
          <w:p w:rsidR="00F252A3" w:rsidRPr="00484DB6" w:rsidRDefault="00F252A3" w:rsidP="00B019FF">
            <w:pPr>
              <w:rPr>
                <w:rFonts w:cs="Arial"/>
                <w:sz w:val="16"/>
              </w:rPr>
            </w:pPr>
            <w:r w:rsidRPr="00484DB6">
              <w:rPr>
                <w:rFonts w:cs="Arial"/>
                <w:sz w:val="16"/>
              </w:rPr>
              <w:t>UNI EN ISO 898-2</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Durezza</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4.6</w:t>
            </w:r>
          </w:p>
        </w:tc>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4; 5; 6 oppure 8</w:t>
            </w:r>
          </w:p>
        </w:tc>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100 HV min.</w:t>
            </w:r>
          </w:p>
        </w:tc>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15048-1</w:t>
            </w: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4.8</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5.6</w:t>
            </w:r>
          </w:p>
        </w:tc>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5; 6 oppure 8</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5.8</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6.8</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6 oppure 8</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C749CF"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8.8</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8 oppure 10</w:t>
            </w:r>
          </w:p>
        </w:tc>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C749CF" w:rsidRDefault="00F252A3" w:rsidP="00B019FF">
            <w:pPr>
              <w:rPr>
                <w:rFonts w:cs="Arial"/>
                <w:sz w:val="16"/>
                <w:lang w:val="nb-NO"/>
              </w:rPr>
            </w:pPr>
            <w:r w:rsidRPr="00C749CF">
              <w:rPr>
                <w:rFonts w:cs="Arial"/>
                <w:sz w:val="16"/>
                <w:lang w:val="nb-NO"/>
              </w:rPr>
              <w:t xml:space="preserve">100 HV min </w:t>
            </w:r>
          </w:p>
          <w:p w:rsidR="00F252A3" w:rsidRPr="00C749CF" w:rsidRDefault="00F252A3" w:rsidP="00B019FF">
            <w:pPr>
              <w:rPr>
                <w:rFonts w:cs="Arial"/>
                <w:sz w:val="16"/>
                <w:lang w:val="nb-NO"/>
              </w:rPr>
            </w:pPr>
            <w:r w:rsidRPr="00C749CF">
              <w:rPr>
                <w:rFonts w:cs="Arial"/>
                <w:sz w:val="16"/>
                <w:lang w:val="nb-NO"/>
              </w:rPr>
              <w:t>oppure 300 HV min.</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C749CF" w:rsidRDefault="00F252A3" w:rsidP="00B019FF">
            <w:pPr>
              <w:rPr>
                <w:rFonts w:cs="Arial"/>
                <w:sz w:val="16"/>
                <w:lang w:val="nb-NO"/>
              </w:rPr>
            </w:pPr>
          </w:p>
        </w:tc>
      </w:tr>
      <w:tr w:rsidR="00F252A3" w:rsidRPr="00484DB6" w:rsidTr="00B019FF">
        <w:trPr>
          <w:trHeight w:hRule="exact" w:val="368"/>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10.9</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 oppure 12</w:t>
            </w: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bl>
    <w:p w:rsidR="00F252A3" w:rsidRPr="00484DB6" w:rsidRDefault="00F252A3" w:rsidP="00F252A3">
      <w:pPr>
        <w:rPr>
          <w:rFonts w:cs="Arial"/>
          <w:sz w:val="20"/>
        </w:rPr>
      </w:pPr>
    </w:p>
    <w:p w:rsidR="00F252A3" w:rsidRPr="00484DB6" w:rsidRDefault="00F252A3" w:rsidP="00F252A3">
      <w:pPr>
        <w:rPr>
          <w:rFonts w:cs="Arial"/>
          <w:sz w:val="20"/>
        </w:rPr>
      </w:pPr>
      <w:r w:rsidRPr="00484DB6">
        <w:rPr>
          <w:rFonts w:cs="Arial"/>
          <w:sz w:val="20"/>
        </w:rPr>
        <w:t xml:space="preserve">Le tensioni di snervamento </w:t>
      </w:r>
      <w:proofErr w:type="spellStart"/>
      <w:r w:rsidRPr="00484DB6">
        <w:rPr>
          <w:rFonts w:cs="Arial"/>
          <w:sz w:val="20"/>
        </w:rPr>
        <w:t>f</w:t>
      </w:r>
      <w:r w:rsidRPr="00484DB6">
        <w:rPr>
          <w:rFonts w:cs="Arial"/>
          <w:sz w:val="20"/>
          <w:vertAlign w:val="subscript"/>
        </w:rPr>
        <w:t>yb</w:t>
      </w:r>
      <w:proofErr w:type="spellEnd"/>
      <w:r w:rsidRPr="00484DB6">
        <w:rPr>
          <w:rFonts w:cs="Arial"/>
          <w:sz w:val="20"/>
        </w:rPr>
        <w:t xml:space="preserve"> e di rottura </w:t>
      </w:r>
      <w:proofErr w:type="spellStart"/>
      <w:r w:rsidRPr="00484DB6">
        <w:rPr>
          <w:rFonts w:cs="Arial"/>
          <w:sz w:val="20"/>
        </w:rPr>
        <w:t>f</w:t>
      </w:r>
      <w:r w:rsidRPr="00484DB6">
        <w:rPr>
          <w:rFonts w:cs="Arial"/>
          <w:sz w:val="20"/>
          <w:vertAlign w:val="subscript"/>
        </w:rPr>
        <w:t>tb</w:t>
      </w:r>
      <w:proofErr w:type="spellEnd"/>
      <w:r w:rsidRPr="00484DB6">
        <w:rPr>
          <w:rFonts w:cs="Arial"/>
          <w:sz w:val="20"/>
        </w:rPr>
        <w:t xml:space="preserve"> delle viti appartenenti alle classi indicate nella tabella sotto riportata.</w:t>
      </w:r>
    </w:p>
    <w:p w:rsidR="00F252A3" w:rsidRPr="00484DB6" w:rsidRDefault="00F252A3" w:rsidP="00F252A3">
      <w:pPr>
        <w:jc w:val="right"/>
        <w:rPr>
          <w:rFonts w:cs="Arial"/>
          <w:sz w:val="20"/>
        </w:rPr>
      </w:pPr>
      <w:r w:rsidRPr="00484DB6">
        <w:rPr>
          <w:rFonts w:cs="Arial"/>
          <w:b/>
          <w:i/>
          <w:sz w:val="20"/>
        </w:rPr>
        <w:t>Tabella 2</w:t>
      </w:r>
    </w:p>
    <w:tbl>
      <w:tblPr>
        <w:tblW w:w="0" w:type="auto"/>
        <w:tblInd w:w="65" w:type="dxa"/>
        <w:tblLayout w:type="fixed"/>
        <w:tblCellMar>
          <w:left w:w="65" w:type="dxa"/>
          <w:right w:w="65" w:type="dxa"/>
        </w:tblCellMar>
        <w:tblLook w:val="0000"/>
      </w:tblPr>
      <w:tblGrid>
        <w:gridCol w:w="1606"/>
        <w:gridCol w:w="1305"/>
        <w:gridCol w:w="1349"/>
        <w:gridCol w:w="1278"/>
        <w:gridCol w:w="1278"/>
        <w:gridCol w:w="1349"/>
        <w:gridCol w:w="1470"/>
      </w:tblGrid>
      <w:tr w:rsidR="00F252A3" w:rsidRPr="00484DB6" w:rsidTr="00B019FF">
        <w:tc>
          <w:tcPr>
            <w:tcW w:w="160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b/>
                <w:sz w:val="20"/>
              </w:rPr>
              <w:t>Classe</w:t>
            </w:r>
          </w:p>
        </w:tc>
        <w:tc>
          <w:tcPr>
            <w:tcW w:w="130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4.6</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4.8</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5.6</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6.8</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8.8</w:t>
            </w:r>
          </w:p>
        </w:tc>
        <w:tc>
          <w:tcPr>
            <w:tcW w:w="147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10.9</w:t>
            </w:r>
          </w:p>
        </w:tc>
      </w:tr>
      <w:tr w:rsidR="00F252A3" w:rsidRPr="00484DB6" w:rsidTr="00B019FF">
        <w:tc>
          <w:tcPr>
            <w:tcW w:w="160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yb</w:t>
            </w:r>
            <w:proofErr w:type="spellEnd"/>
            <w:r w:rsidRPr="00484DB6">
              <w:rPr>
                <w:rFonts w:cs="Arial"/>
                <w:sz w:val="20"/>
                <w:vertAlign w:val="subscript"/>
              </w:rPr>
              <w:t xml:space="preserve"> (N/mm</w:t>
            </w:r>
            <w:r w:rsidRPr="00484DB6">
              <w:rPr>
                <w:rFonts w:cs="Arial"/>
                <w:sz w:val="20"/>
                <w:vertAlign w:val="superscript"/>
              </w:rPr>
              <w:t>2</w:t>
            </w:r>
            <w:r w:rsidRPr="00484DB6">
              <w:rPr>
                <w:rFonts w:cs="Arial"/>
                <w:sz w:val="20"/>
                <w:vertAlign w:val="subscript"/>
              </w:rPr>
              <w:t>)</w:t>
            </w:r>
          </w:p>
        </w:tc>
        <w:tc>
          <w:tcPr>
            <w:tcW w:w="130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240</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320</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300</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480</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640</w:t>
            </w:r>
          </w:p>
        </w:tc>
        <w:tc>
          <w:tcPr>
            <w:tcW w:w="147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900</w:t>
            </w:r>
          </w:p>
        </w:tc>
      </w:tr>
      <w:tr w:rsidR="00F252A3" w:rsidRPr="00484DB6" w:rsidTr="00B019FF">
        <w:tc>
          <w:tcPr>
            <w:tcW w:w="160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proofErr w:type="spellStart"/>
            <w:r w:rsidRPr="00484DB6">
              <w:rPr>
                <w:rFonts w:cs="Arial"/>
                <w:sz w:val="20"/>
              </w:rPr>
              <w:t>f</w:t>
            </w:r>
            <w:r w:rsidRPr="00484DB6">
              <w:rPr>
                <w:rFonts w:cs="Arial"/>
                <w:sz w:val="20"/>
                <w:vertAlign w:val="subscript"/>
              </w:rPr>
              <w:t>tb</w:t>
            </w:r>
            <w:proofErr w:type="spellEnd"/>
            <w:r w:rsidRPr="00484DB6">
              <w:rPr>
                <w:rFonts w:cs="Arial"/>
                <w:sz w:val="20"/>
                <w:vertAlign w:val="subscript"/>
              </w:rPr>
              <w:t xml:space="preserve"> (N/mm</w:t>
            </w:r>
            <w:r w:rsidRPr="00484DB6">
              <w:rPr>
                <w:rFonts w:cs="Arial"/>
                <w:sz w:val="20"/>
                <w:vertAlign w:val="superscript"/>
              </w:rPr>
              <w:t>2</w:t>
            </w:r>
            <w:r w:rsidRPr="00484DB6">
              <w:rPr>
                <w:rFonts w:cs="Arial"/>
                <w:sz w:val="20"/>
                <w:vertAlign w:val="subscript"/>
              </w:rPr>
              <w:t>)</w:t>
            </w:r>
          </w:p>
        </w:tc>
        <w:tc>
          <w:tcPr>
            <w:tcW w:w="130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400</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400</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500</w:t>
            </w:r>
          </w:p>
        </w:tc>
        <w:tc>
          <w:tcPr>
            <w:tcW w:w="1278"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600</w:t>
            </w:r>
          </w:p>
        </w:tc>
        <w:tc>
          <w:tcPr>
            <w:tcW w:w="134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800</w:t>
            </w:r>
          </w:p>
        </w:tc>
        <w:tc>
          <w:tcPr>
            <w:tcW w:w="147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1000</w:t>
            </w:r>
          </w:p>
        </w:tc>
      </w:tr>
    </w:tbl>
    <w:p w:rsidR="00F252A3" w:rsidRPr="00484DB6" w:rsidRDefault="00F252A3" w:rsidP="00F252A3">
      <w:pPr>
        <w:rPr>
          <w:rFonts w:cs="Arial"/>
          <w:b/>
          <w:i/>
          <w:sz w:val="20"/>
        </w:rPr>
      </w:pPr>
    </w:p>
    <w:p w:rsidR="00F252A3" w:rsidRPr="00484DB6" w:rsidRDefault="00F252A3" w:rsidP="00F252A3">
      <w:pPr>
        <w:rPr>
          <w:rFonts w:cs="Arial"/>
          <w:sz w:val="20"/>
        </w:rPr>
      </w:pPr>
      <w:r w:rsidRPr="00484DB6">
        <w:rPr>
          <w:rFonts w:cs="Arial"/>
          <w:b/>
          <w:sz w:val="20"/>
        </w:rPr>
        <w:t>Bulloni "a serraggio controllato"</w:t>
      </w:r>
    </w:p>
    <w:p w:rsidR="00F252A3" w:rsidRPr="00484DB6" w:rsidRDefault="00F252A3" w:rsidP="00F252A3">
      <w:pPr>
        <w:rPr>
          <w:rFonts w:cs="Arial"/>
          <w:sz w:val="20"/>
        </w:rPr>
      </w:pPr>
      <w:r w:rsidRPr="00484DB6">
        <w:rPr>
          <w:rFonts w:cs="Arial"/>
          <w:sz w:val="20"/>
        </w:rPr>
        <w:t>Agli assiemi Vite/Dado/Rondella impiegati nelle giunzioni ‘Precaricate’ si applica quanto specificato al punto A del paragrafo 11.1 in conformità alla norma europea armonizzata UNI EN 14399-1.</w:t>
      </w:r>
    </w:p>
    <w:p w:rsidR="00F252A3" w:rsidRPr="00484DB6" w:rsidRDefault="00F252A3" w:rsidP="00F252A3">
      <w:pPr>
        <w:rPr>
          <w:rFonts w:cs="Arial"/>
          <w:b/>
          <w:i/>
          <w:sz w:val="20"/>
        </w:rPr>
      </w:pPr>
      <w:r w:rsidRPr="00484DB6">
        <w:rPr>
          <w:rFonts w:cs="Arial"/>
          <w:sz w:val="20"/>
        </w:rPr>
        <w:t>Viti, dadi e rondelle, in acciaio, devono essere associate come nella seguente tabella</w:t>
      </w:r>
    </w:p>
    <w:p w:rsidR="00F252A3" w:rsidRPr="00484DB6" w:rsidRDefault="00F252A3" w:rsidP="00F252A3">
      <w:pPr>
        <w:jc w:val="right"/>
        <w:rPr>
          <w:rFonts w:cs="Arial"/>
          <w:b/>
          <w:i/>
          <w:sz w:val="20"/>
        </w:rPr>
      </w:pPr>
    </w:p>
    <w:tbl>
      <w:tblPr>
        <w:tblW w:w="0" w:type="auto"/>
        <w:tblInd w:w="65" w:type="dxa"/>
        <w:tblLayout w:type="fixed"/>
        <w:tblCellMar>
          <w:left w:w="65" w:type="dxa"/>
          <w:right w:w="65" w:type="dxa"/>
        </w:tblCellMar>
        <w:tblLook w:val="0000"/>
      </w:tblPr>
      <w:tblGrid>
        <w:gridCol w:w="1420"/>
        <w:gridCol w:w="1330"/>
        <w:gridCol w:w="1375"/>
        <w:gridCol w:w="1375"/>
        <w:gridCol w:w="1375"/>
        <w:gridCol w:w="1375"/>
        <w:gridCol w:w="1375"/>
      </w:tblGrid>
      <w:tr w:rsidR="00F252A3" w:rsidRPr="00484DB6" w:rsidTr="00B019FF">
        <w:trPr>
          <w:trHeight w:hRule="exact" w:val="306"/>
        </w:trPr>
        <w:tc>
          <w:tcPr>
            <w:tcW w:w="1420" w:type="dxa"/>
            <w:vMerge w:val="restart"/>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Sistema</w:t>
            </w:r>
          </w:p>
        </w:tc>
        <w:tc>
          <w:tcPr>
            <w:tcW w:w="2705" w:type="dxa"/>
            <w:gridSpan w:val="2"/>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Viti</w:t>
            </w:r>
          </w:p>
        </w:tc>
        <w:tc>
          <w:tcPr>
            <w:tcW w:w="2750" w:type="dxa"/>
            <w:gridSpan w:val="2"/>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Dadi</w:t>
            </w:r>
          </w:p>
        </w:tc>
        <w:tc>
          <w:tcPr>
            <w:tcW w:w="2750" w:type="dxa"/>
            <w:gridSpan w:val="2"/>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Rondelle</w:t>
            </w:r>
          </w:p>
        </w:tc>
      </w:tr>
      <w:tr w:rsidR="00F252A3" w:rsidRPr="00484DB6" w:rsidTr="00B019FF">
        <w:trPr>
          <w:trHeight w:hRule="exact" w:val="396"/>
        </w:trPr>
        <w:tc>
          <w:tcPr>
            <w:tcW w:w="1420" w:type="dxa"/>
            <w:vMerge/>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p>
        </w:tc>
        <w:tc>
          <w:tcPr>
            <w:tcW w:w="1330"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Classe di resistenza</w:t>
            </w:r>
          </w:p>
        </w:tc>
        <w:tc>
          <w:tcPr>
            <w:tcW w:w="1375"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Riferimento</w:t>
            </w:r>
          </w:p>
        </w:tc>
        <w:tc>
          <w:tcPr>
            <w:tcW w:w="1375"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Classe di resistenza</w:t>
            </w:r>
          </w:p>
        </w:tc>
        <w:tc>
          <w:tcPr>
            <w:tcW w:w="1375"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Riferimento</w:t>
            </w:r>
          </w:p>
        </w:tc>
        <w:tc>
          <w:tcPr>
            <w:tcW w:w="1375"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Durezza</w:t>
            </w:r>
          </w:p>
        </w:tc>
        <w:tc>
          <w:tcPr>
            <w:tcW w:w="1375" w:type="dxa"/>
            <w:tcBorders>
              <w:top w:val="single" w:sz="2" w:space="0" w:color="auto"/>
              <w:left w:val="single" w:sz="2" w:space="0" w:color="auto"/>
              <w:bottom w:val="single" w:sz="2" w:space="0" w:color="auto"/>
              <w:right w:val="single" w:sz="2" w:space="0" w:color="auto"/>
            </w:tcBorders>
            <w:shd w:val="pct10" w:color="auto" w:fill="auto"/>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Riferimento</w:t>
            </w:r>
          </w:p>
        </w:tc>
      </w:tr>
      <w:tr w:rsidR="00F252A3" w:rsidRPr="00484DB6" w:rsidTr="00B019FF">
        <w:trPr>
          <w:trHeight w:hRule="exact" w:val="396"/>
        </w:trPr>
        <w:tc>
          <w:tcPr>
            <w:tcW w:w="1420"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HR</w:t>
            </w:r>
          </w:p>
        </w:tc>
        <w:tc>
          <w:tcPr>
            <w:tcW w:w="133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8.8</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14399-1</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8</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14399-3</w:t>
            </w:r>
          </w:p>
        </w:tc>
        <w:tc>
          <w:tcPr>
            <w:tcW w:w="1375"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300-370 HV</w:t>
            </w:r>
          </w:p>
        </w:tc>
        <w:tc>
          <w:tcPr>
            <w:tcW w:w="1375"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 parti 5 e 6</w:t>
            </w:r>
          </w:p>
        </w:tc>
      </w:tr>
      <w:tr w:rsidR="00F252A3" w:rsidRPr="00484DB6" w:rsidTr="00B019FF">
        <w:trPr>
          <w:trHeight w:hRule="exact" w:val="396"/>
        </w:trPr>
        <w:tc>
          <w:tcPr>
            <w:tcW w:w="1420"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133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10.9</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14399-3</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14399-3</w:t>
            </w:r>
          </w:p>
        </w:tc>
        <w:tc>
          <w:tcPr>
            <w:tcW w:w="1375"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1375"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r w:rsidR="00F252A3" w:rsidRPr="00484DB6" w:rsidTr="00B019FF">
        <w:trPr>
          <w:trHeight w:hRule="exact" w:val="396"/>
        </w:trPr>
        <w:tc>
          <w:tcPr>
            <w:tcW w:w="142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133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10.9</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14399-4</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10</w:t>
            </w:r>
          </w:p>
        </w:tc>
        <w:tc>
          <w:tcPr>
            <w:tcW w:w="13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r w:rsidRPr="00484DB6">
              <w:rPr>
                <w:rFonts w:cs="Arial"/>
                <w:sz w:val="16"/>
              </w:rPr>
              <w:t>UNI EN 14399-4</w:t>
            </w:r>
          </w:p>
        </w:tc>
        <w:tc>
          <w:tcPr>
            <w:tcW w:w="1375"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1375"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r>
    </w:tbl>
    <w:p w:rsidR="00F252A3" w:rsidRPr="00484DB6" w:rsidRDefault="00F252A3" w:rsidP="00F252A3">
      <w:pPr>
        <w:rPr>
          <w:rFonts w:cs="Arial"/>
          <w:b/>
          <w:sz w:val="20"/>
        </w:rPr>
      </w:pPr>
    </w:p>
    <w:p w:rsidR="00F252A3" w:rsidRPr="00484DB6" w:rsidRDefault="00F252A3" w:rsidP="00F252A3">
      <w:pPr>
        <w:rPr>
          <w:rFonts w:cs="Arial"/>
          <w:sz w:val="20"/>
        </w:rPr>
      </w:pPr>
      <w:r w:rsidRPr="00484DB6">
        <w:rPr>
          <w:rFonts w:cs="Arial"/>
          <w:b/>
          <w:sz w:val="20"/>
        </w:rPr>
        <w:t>Chiodi</w:t>
      </w:r>
    </w:p>
    <w:p w:rsidR="00F252A3" w:rsidRPr="00484DB6" w:rsidRDefault="00F252A3" w:rsidP="00F252A3">
      <w:pPr>
        <w:rPr>
          <w:rFonts w:cs="Arial"/>
          <w:b/>
          <w:sz w:val="20"/>
        </w:rPr>
      </w:pPr>
      <w:r w:rsidRPr="00484DB6">
        <w:rPr>
          <w:rFonts w:cs="Arial"/>
          <w:sz w:val="20"/>
        </w:rPr>
        <w:t>Per i chiodi da ribadire a caldo si devono impiegare gli acciai previsti dalla norma UNI EN 10263 (parti 1 - 5).</w:t>
      </w:r>
    </w:p>
    <w:p w:rsidR="00F252A3" w:rsidRPr="00484DB6" w:rsidRDefault="00F252A3" w:rsidP="00F252A3">
      <w:pPr>
        <w:rPr>
          <w:rFonts w:cs="Arial"/>
          <w:b/>
          <w:sz w:val="20"/>
        </w:rPr>
      </w:pPr>
    </w:p>
    <w:p w:rsidR="00F252A3" w:rsidRPr="00484DB6" w:rsidRDefault="00F252A3" w:rsidP="00F252A3">
      <w:pPr>
        <w:rPr>
          <w:rFonts w:cs="Arial"/>
          <w:b/>
          <w:sz w:val="20"/>
        </w:rPr>
      </w:pPr>
      <w:r w:rsidRPr="00484DB6">
        <w:rPr>
          <w:rFonts w:cs="Arial"/>
          <w:b/>
          <w:sz w:val="20"/>
        </w:rPr>
        <w:t>Procedure di controllo su acciai da carpenteria</w:t>
      </w:r>
    </w:p>
    <w:p w:rsidR="00F252A3" w:rsidRPr="00484DB6" w:rsidRDefault="00F252A3" w:rsidP="00F252A3">
      <w:pPr>
        <w:rPr>
          <w:rFonts w:cs="Arial"/>
          <w:sz w:val="20"/>
        </w:rPr>
      </w:pPr>
    </w:p>
    <w:p w:rsidR="00F252A3" w:rsidRPr="00484DB6" w:rsidRDefault="00F252A3" w:rsidP="00F252A3">
      <w:pPr>
        <w:ind w:firstLine="284"/>
        <w:rPr>
          <w:rFonts w:cs="Arial"/>
          <w:b/>
          <w:sz w:val="20"/>
        </w:rPr>
      </w:pPr>
      <w:r w:rsidRPr="00484DB6">
        <w:rPr>
          <w:rFonts w:cs="Arial"/>
          <w:b/>
          <w:sz w:val="20"/>
        </w:rPr>
        <w:t>Controlli di accettazione in cantiere</w:t>
      </w:r>
    </w:p>
    <w:p w:rsidR="00F252A3" w:rsidRPr="00484DB6" w:rsidRDefault="00F252A3" w:rsidP="00F252A3">
      <w:pPr>
        <w:ind w:firstLine="284"/>
        <w:rPr>
          <w:rFonts w:cs="Arial"/>
          <w:sz w:val="20"/>
        </w:rPr>
      </w:pPr>
      <w:r w:rsidRPr="00484DB6">
        <w:rPr>
          <w:rFonts w:cs="Arial"/>
          <w:sz w:val="20"/>
        </w:rPr>
        <w:t>I controlli di accettazione in cantiere, da eseguirsi presso un laboratorio di cui all’art. 59 del DPR n. 380/2001, sono obbligatori per tutte le forniture di elementi e/o prodotti, qualunque sia la loro provenienza e la tipologia di qualificazione.</w:t>
      </w:r>
    </w:p>
    <w:p w:rsidR="00F252A3" w:rsidRPr="00484DB6" w:rsidRDefault="00F252A3" w:rsidP="00F252A3">
      <w:pPr>
        <w:ind w:firstLine="284"/>
        <w:rPr>
          <w:rFonts w:cs="Arial"/>
          <w:sz w:val="20"/>
        </w:rPr>
      </w:pPr>
      <w:r w:rsidRPr="00484DB6">
        <w:rPr>
          <w:rFonts w:cs="Arial"/>
          <w:sz w:val="20"/>
        </w:rPr>
        <w:t xml:space="preserve">Il prelievo dei campioni va eseguito alla presenza del Direttore dei Lavori o di un tecnico di sua fiducia che provvede alla redazione di apposito verbale di prelievo ed alla identificazione dei provini mediante sigle, etichettature indelebili, ecc.; la certificazione effettuata dal laboratorio prove materiali deve riportare riferimento a tale verbale. La richiesta di prove al laboratorio incaricato deve essere </w:t>
      </w:r>
      <w:r w:rsidRPr="00484DB6">
        <w:rPr>
          <w:rFonts w:cs="Arial"/>
          <w:sz w:val="20"/>
        </w:rPr>
        <w:lastRenderedPageBreak/>
        <w:t>sempre firmata dal Direttore dei Lavori, che rimane anche responsabile della trasmissione dei campioni.</w:t>
      </w:r>
    </w:p>
    <w:p w:rsidR="00F252A3" w:rsidRPr="00484DB6" w:rsidRDefault="00F252A3" w:rsidP="00F252A3">
      <w:pPr>
        <w:ind w:firstLine="284"/>
        <w:rPr>
          <w:rFonts w:cs="Arial"/>
          <w:sz w:val="20"/>
        </w:rPr>
      </w:pPr>
      <w:r w:rsidRPr="00484DB6">
        <w:rPr>
          <w:rFonts w:cs="Arial"/>
          <w:sz w:val="20"/>
        </w:rPr>
        <w:t>Qualora la fornitura di elementi lavorati provenga da un Centro di trasformazione o da un fabbricante di elementi marcati CE dopo essersi accertato preliminarmente che il suddetto Centro di trasformazione o il fabbricante sia in possesso di tutti i requisiti previsti dalla norma, Il Direttore dei Lavori può recarsi presso il medesimo Centro di trasformazione o fabbricante ed effettuare in stabilimento tutti i controlli di cui sopra. In tal caso il prelievo dei campioni viene effettuato dal Direttore Tecnico del Centro di trasformazione o del fabbricante secondo le disposizioni del Direttore dei Lavori; quest’ultimo deve assicurare, mediante sigle, etichettature indelebili, ecc., che i campioni inviati per le prove al laboratorio incaricato siano effettivamente quelli da lui preleva- ti, nonché sottoscrivere la relativa richiesta di prove.</w:t>
      </w:r>
    </w:p>
    <w:p w:rsidR="00F252A3" w:rsidRPr="00484DB6" w:rsidRDefault="00F252A3" w:rsidP="00F252A3">
      <w:pPr>
        <w:ind w:firstLine="284"/>
        <w:rPr>
          <w:rFonts w:cs="Arial"/>
          <w:sz w:val="20"/>
        </w:rPr>
      </w:pPr>
      <w:r w:rsidRPr="00484DB6">
        <w:rPr>
          <w:rFonts w:cs="Arial"/>
          <w:sz w:val="20"/>
        </w:rPr>
        <w:t>Il laboratorio incaricato di effettuare le prove provvede all’accettazione dei campioni accompagnati dalla lettera di richiesta sottoscritta dal direttore dei lavori. Il laboratorio verifica lo stato dei provini e la documentazione di riferimento ed in caso di anomalie riscontrate sui campioni oppure di mancanza totale o parziale degli strumenti idonei per la identificazione degli stessi, deve sospendere l’esecuzione delle prove e darne notizia al Servizio Tecnico Centrale del Consiglio Superiore dei Lavori Pubblici.</w:t>
      </w:r>
    </w:p>
    <w:p w:rsidR="00F252A3" w:rsidRPr="00484DB6" w:rsidRDefault="00F252A3" w:rsidP="00F252A3">
      <w:pPr>
        <w:ind w:firstLine="284"/>
        <w:rPr>
          <w:rFonts w:cs="Arial"/>
          <w:sz w:val="20"/>
        </w:rPr>
      </w:pPr>
      <w:r w:rsidRPr="00484DB6">
        <w:rPr>
          <w:rFonts w:cs="Arial"/>
          <w:sz w:val="20"/>
        </w:rPr>
        <w:t>Il prelievo potrà anche essere eseguito dallo stesso laboratorio incaricato della esecuzione delle prove. I laboratori devono conservare i campioni sottoposti a prova per almeno trenta giorni dopo l’emissione dei certificati di prova, in modo da consentirne l’identificabilità e la rintracciabilità.</w:t>
      </w:r>
    </w:p>
    <w:p w:rsidR="00F252A3" w:rsidRPr="00484DB6" w:rsidRDefault="00F252A3" w:rsidP="00F252A3">
      <w:pPr>
        <w:ind w:firstLine="284"/>
        <w:rPr>
          <w:rFonts w:cs="Arial"/>
          <w:sz w:val="20"/>
        </w:rPr>
      </w:pPr>
      <w:r w:rsidRPr="00484DB6">
        <w:rPr>
          <w:rFonts w:cs="Arial"/>
          <w:sz w:val="20"/>
        </w:rPr>
        <w:t>A seconda delle tipologie di materiali pervenute in cantiere il Direttore dei Lavori deve effettuare i seguenti controlli:</w:t>
      </w:r>
    </w:p>
    <w:p w:rsidR="00F252A3" w:rsidRPr="00484DB6" w:rsidRDefault="00F252A3" w:rsidP="00F252A3">
      <w:pPr>
        <w:ind w:firstLine="284"/>
        <w:rPr>
          <w:rFonts w:cs="Arial"/>
          <w:sz w:val="20"/>
        </w:rPr>
      </w:pPr>
      <w:r w:rsidRPr="00484DB6">
        <w:rPr>
          <w:rFonts w:cs="Arial"/>
          <w:sz w:val="20"/>
        </w:rPr>
        <w:t>- Elementi di Carpenteria Metallica: 3 prove ogni 90 tonnellate;</w:t>
      </w:r>
    </w:p>
    <w:p w:rsidR="00F252A3" w:rsidRPr="00484DB6" w:rsidRDefault="00F252A3" w:rsidP="00F252A3">
      <w:pPr>
        <w:ind w:firstLine="284"/>
        <w:rPr>
          <w:rFonts w:cs="Arial"/>
          <w:sz w:val="20"/>
        </w:rPr>
      </w:pPr>
      <w:r w:rsidRPr="00484DB6">
        <w:rPr>
          <w:rFonts w:cs="Arial"/>
          <w:sz w:val="20"/>
        </w:rPr>
        <w:t>- Lamiere grecate e profili formati a freddo: 3 prove ogni 15 tonnellate;</w:t>
      </w:r>
    </w:p>
    <w:p w:rsidR="00F252A3" w:rsidRPr="00484DB6" w:rsidRDefault="00F252A3" w:rsidP="00F252A3">
      <w:pPr>
        <w:ind w:firstLine="284"/>
        <w:rPr>
          <w:rFonts w:cs="Arial"/>
          <w:sz w:val="20"/>
        </w:rPr>
      </w:pPr>
      <w:r w:rsidRPr="00484DB6">
        <w:rPr>
          <w:rFonts w:cs="Arial"/>
          <w:sz w:val="20"/>
        </w:rPr>
        <w:t>- Bulloni e chiodi: 3 campioni ogni 1500 pezzi impiegati;</w:t>
      </w:r>
    </w:p>
    <w:p w:rsidR="00F252A3" w:rsidRPr="00484DB6" w:rsidRDefault="00F252A3" w:rsidP="00F252A3">
      <w:pPr>
        <w:ind w:firstLine="284"/>
        <w:rPr>
          <w:rFonts w:cs="Arial"/>
          <w:sz w:val="20"/>
        </w:rPr>
      </w:pPr>
      <w:r w:rsidRPr="00484DB6">
        <w:rPr>
          <w:rFonts w:cs="Arial"/>
          <w:sz w:val="20"/>
        </w:rPr>
        <w:t>- Giunzioni meccaniche: 3 campioni ogni 100 pezzi impiegati.</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I controlli di accettazione devono essere effettuati prima della posa in opera degli elementi e/o dei prodotti.</w:t>
      </w:r>
    </w:p>
    <w:p w:rsidR="00F252A3" w:rsidRPr="00484DB6" w:rsidRDefault="00F252A3" w:rsidP="00F252A3">
      <w:pPr>
        <w:ind w:firstLine="284"/>
        <w:rPr>
          <w:rFonts w:cs="Arial"/>
          <w:sz w:val="20"/>
        </w:rPr>
      </w:pPr>
      <w:r w:rsidRPr="00484DB6">
        <w:rPr>
          <w:rFonts w:cs="Arial"/>
          <w:sz w:val="20"/>
        </w:rPr>
        <w:t>I criteri di valutazione dei risultati dei controlli di accettazione devono essere adeguatamente stabiliti dal Direttore dei Lavori in relazione alle caratteristiche meccaniche dichiarate dal fabbricante nella documentazione di identificazione e qualificazione e previste dalle presenti norme o dalla documentazione di progetto per la specifica opera.</w:t>
      </w:r>
    </w:p>
    <w:p w:rsidR="007F3291" w:rsidRDefault="007F3291" w:rsidP="00F252A3">
      <w:pPr>
        <w:rPr>
          <w:rFonts w:cs="Arial"/>
          <w:vanish/>
          <w:sz w:val="14"/>
        </w:rPr>
      </w:pPr>
    </w:p>
    <w:p w:rsidR="00F252A3" w:rsidRPr="00484DB6" w:rsidRDefault="00F252A3" w:rsidP="00F252A3">
      <w:pPr>
        <w:rPr>
          <w:rFonts w:cs="Arial"/>
          <w:b/>
          <w:sz w:val="20"/>
        </w:rPr>
      </w:pPr>
      <w:r w:rsidRPr="00484DB6">
        <w:rPr>
          <w:rFonts w:cs="Arial"/>
          <w:b/>
          <w:sz w:val="20"/>
        </w:rPr>
        <w:t>4.7.4 Acciaio del tipo COR-TEN</w:t>
      </w:r>
    </w:p>
    <w:p w:rsidR="00F252A3" w:rsidRPr="00484DB6" w:rsidRDefault="00F252A3" w:rsidP="00F252A3">
      <w:pPr>
        <w:rPr>
          <w:rFonts w:cs="Arial"/>
          <w:sz w:val="20"/>
        </w:rPr>
      </w:pPr>
    </w:p>
    <w:p w:rsidR="00F252A3" w:rsidRPr="00484DB6" w:rsidRDefault="00F252A3" w:rsidP="00F252A3">
      <w:pPr>
        <w:rPr>
          <w:rFonts w:cs="Arial"/>
          <w:b/>
          <w:sz w:val="20"/>
        </w:rPr>
      </w:pPr>
      <w:r w:rsidRPr="00484DB6">
        <w:rPr>
          <w:rFonts w:cs="Arial"/>
          <w:b/>
          <w:sz w:val="20"/>
        </w:rPr>
        <w:t>Caratteristiche di qualità e di impiego</w:t>
      </w:r>
    </w:p>
    <w:p w:rsidR="00F252A3" w:rsidRPr="00484DB6" w:rsidRDefault="00F252A3" w:rsidP="00F252A3">
      <w:pPr>
        <w:ind w:firstLine="284"/>
        <w:rPr>
          <w:rFonts w:cs="Arial"/>
          <w:sz w:val="20"/>
        </w:rPr>
      </w:pPr>
      <w:r w:rsidRPr="00484DB6">
        <w:rPr>
          <w:rFonts w:cs="Arial"/>
          <w:sz w:val="20"/>
        </w:rPr>
        <w:t>L'acciaio di tipologia COR-TEN o (</w:t>
      </w:r>
      <w:proofErr w:type="spellStart"/>
      <w:r w:rsidRPr="00484DB6">
        <w:rPr>
          <w:rFonts w:cs="Arial"/>
          <w:sz w:val="20"/>
        </w:rPr>
        <w:t>Weathering</w:t>
      </w:r>
      <w:proofErr w:type="spellEnd"/>
      <w:r w:rsidRPr="00484DB6">
        <w:rPr>
          <w:rFonts w:cs="Arial"/>
          <w:sz w:val="20"/>
        </w:rPr>
        <w:t xml:space="preserve"> Steel) conforme alla norma UNI EN 10025-5 è un acciaio basso-legato ad alta resistenza e auto-passivante, definito “patinabile”. Il nome </w:t>
      </w:r>
      <w:proofErr w:type="spellStart"/>
      <w:r w:rsidRPr="00484DB6">
        <w:rPr>
          <w:rFonts w:cs="Arial"/>
          <w:sz w:val="20"/>
        </w:rPr>
        <w:t>Cor-Ten</w:t>
      </w:r>
      <w:proofErr w:type="spellEnd"/>
      <w:r w:rsidRPr="00484DB6">
        <w:rPr>
          <w:rFonts w:cs="Arial"/>
          <w:sz w:val="20"/>
        </w:rPr>
        <w:t xml:space="preserve">® deriva dalle iniziali dei termini inglesi </w:t>
      </w:r>
      <w:proofErr w:type="spellStart"/>
      <w:r w:rsidRPr="00484DB6">
        <w:rPr>
          <w:rFonts w:cs="Arial"/>
          <w:sz w:val="20"/>
        </w:rPr>
        <w:t>CORrosion</w:t>
      </w:r>
      <w:proofErr w:type="spellEnd"/>
      <w:r w:rsidRPr="00484DB6">
        <w:rPr>
          <w:rFonts w:cs="Arial"/>
          <w:sz w:val="20"/>
        </w:rPr>
        <w:t xml:space="preserve"> </w:t>
      </w:r>
      <w:proofErr w:type="spellStart"/>
      <w:r w:rsidRPr="00484DB6">
        <w:rPr>
          <w:rFonts w:cs="Arial"/>
          <w:sz w:val="20"/>
        </w:rPr>
        <w:t>resistance</w:t>
      </w:r>
      <w:proofErr w:type="spellEnd"/>
      <w:r w:rsidRPr="00484DB6">
        <w:rPr>
          <w:rFonts w:cs="Arial"/>
          <w:sz w:val="20"/>
        </w:rPr>
        <w:t xml:space="preserve"> (resistenza alla corrosione) e </w:t>
      </w:r>
      <w:proofErr w:type="spellStart"/>
      <w:r w:rsidRPr="00484DB6">
        <w:rPr>
          <w:rFonts w:cs="Arial"/>
          <w:sz w:val="20"/>
        </w:rPr>
        <w:t>TENsile</w:t>
      </w:r>
      <w:proofErr w:type="spellEnd"/>
      <w:r w:rsidRPr="00484DB6">
        <w:rPr>
          <w:rFonts w:cs="Arial"/>
          <w:sz w:val="20"/>
        </w:rPr>
        <w:t xml:space="preserve"> </w:t>
      </w:r>
      <w:proofErr w:type="spellStart"/>
      <w:r w:rsidRPr="00484DB6">
        <w:rPr>
          <w:rFonts w:cs="Arial"/>
          <w:sz w:val="20"/>
        </w:rPr>
        <w:t>strength</w:t>
      </w:r>
      <w:proofErr w:type="spellEnd"/>
      <w:r w:rsidRPr="00484DB6">
        <w:rPr>
          <w:rFonts w:cs="Arial"/>
          <w:sz w:val="20"/>
        </w:rPr>
        <w:t xml:space="preserve"> (resistenza a trazione) utilizzati per depositare il brevetto USA di questa lega negli anni '30 del '900. </w:t>
      </w:r>
    </w:p>
    <w:p w:rsidR="00F252A3" w:rsidRPr="00484DB6" w:rsidRDefault="00F252A3" w:rsidP="00F252A3">
      <w:pPr>
        <w:ind w:firstLine="284"/>
        <w:rPr>
          <w:rFonts w:cs="Arial"/>
          <w:sz w:val="20"/>
        </w:rPr>
      </w:pPr>
      <w:r w:rsidRPr="00484DB6">
        <w:rPr>
          <w:rFonts w:cs="Arial"/>
          <w:sz w:val="20"/>
        </w:rPr>
        <w:t>Il prodotto indicato, secondo la norma UNI EN 10025-5 (Parte 5) "Condizioni tecniche di fornitura di acciai per impieghi strutturali con resistenza migliorata alla corrosione atmosferica", riporterà le seguenti sigle:</w:t>
      </w:r>
    </w:p>
    <w:p w:rsidR="00F252A3" w:rsidRPr="00484DB6" w:rsidRDefault="00F252A3" w:rsidP="00F252A3">
      <w:pPr>
        <w:ind w:firstLine="284"/>
        <w:rPr>
          <w:rFonts w:cs="Arial"/>
          <w:sz w:val="20"/>
        </w:rPr>
      </w:pPr>
      <w:r w:rsidRPr="00484DB6">
        <w:rPr>
          <w:rFonts w:cs="Arial"/>
          <w:sz w:val="20"/>
        </w:rPr>
        <w:t>- S: indica che si tratta di acciaio per impieghi strutturali</w:t>
      </w:r>
    </w:p>
    <w:p w:rsidR="00F252A3" w:rsidRPr="00484DB6" w:rsidRDefault="00F252A3" w:rsidP="00F252A3">
      <w:pPr>
        <w:ind w:firstLine="284"/>
        <w:rPr>
          <w:rFonts w:cs="Arial"/>
          <w:sz w:val="20"/>
        </w:rPr>
      </w:pPr>
      <w:r w:rsidRPr="00484DB6">
        <w:rPr>
          <w:rFonts w:cs="Arial"/>
          <w:sz w:val="20"/>
        </w:rPr>
        <w:t>- XXX: indicazione numerica del carico unitario di snervamento</w:t>
      </w:r>
    </w:p>
    <w:p w:rsidR="00F252A3" w:rsidRPr="00484DB6" w:rsidRDefault="00F252A3" w:rsidP="00F252A3">
      <w:pPr>
        <w:ind w:firstLine="284"/>
        <w:rPr>
          <w:rFonts w:cs="Arial"/>
          <w:sz w:val="20"/>
        </w:rPr>
      </w:pPr>
      <w:r w:rsidRPr="00484DB6">
        <w:rPr>
          <w:rFonts w:cs="Arial"/>
          <w:sz w:val="20"/>
        </w:rPr>
        <w:t>- JX: indicazioni alfanumeriche relative alla resilienza</w:t>
      </w:r>
    </w:p>
    <w:p w:rsidR="00F252A3" w:rsidRPr="00484DB6" w:rsidRDefault="00F252A3" w:rsidP="00F252A3">
      <w:pPr>
        <w:ind w:firstLine="284"/>
        <w:rPr>
          <w:rFonts w:cs="Arial"/>
          <w:sz w:val="20"/>
        </w:rPr>
      </w:pPr>
      <w:r w:rsidRPr="00484DB6">
        <w:rPr>
          <w:rFonts w:cs="Arial"/>
          <w:sz w:val="20"/>
        </w:rPr>
        <w:t>- W: indica che l’acciaio possiede una resistenza migliorata alla corrosione atmosferica</w:t>
      </w:r>
    </w:p>
    <w:p w:rsidR="00F252A3" w:rsidRPr="00484DB6" w:rsidRDefault="00F252A3" w:rsidP="00F252A3">
      <w:pPr>
        <w:ind w:firstLine="284"/>
        <w:rPr>
          <w:rFonts w:cs="Arial"/>
          <w:sz w:val="20"/>
        </w:rPr>
      </w:pPr>
      <w:r w:rsidRPr="00484DB6">
        <w:rPr>
          <w:rFonts w:cs="Arial"/>
          <w:sz w:val="20"/>
        </w:rPr>
        <w:t>- P: indica la presenza di un tenore di fosforo maggiorato</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 xml:space="preserve">Con la sua forte matericità, il suo caratteristico cromatismo e le sue elevate prestazioni, l’acciaio COR-TEN si contraddistingue per l’elevata resistenza, sia meccanica che alla corrosione, e le qualità estetiche date dall’ossidazione controllata. </w:t>
      </w:r>
    </w:p>
    <w:p w:rsidR="00F252A3" w:rsidRPr="00484DB6" w:rsidRDefault="00F252A3" w:rsidP="00F252A3">
      <w:pPr>
        <w:ind w:firstLine="284"/>
        <w:rPr>
          <w:rFonts w:cs="Arial"/>
          <w:sz w:val="20"/>
        </w:rPr>
      </w:pPr>
      <w:r w:rsidRPr="00484DB6">
        <w:rPr>
          <w:rFonts w:cs="Arial"/>
          <w:sz w:val="20"/>
        </w:rPr>
        <w:t>La principale peculiarità dell'acciaio COR-TEN infatti è quella di autoproteggersi dalla corrosione elettrochimica mediante la formazione di una patina superficiale compatta passivante, costituita dagli ossidi dei suoi elementi di lega, tale da impedire il progressivo estendersi della corrosione; tale film varia di tonalità col passare del tempo assumendo una colorazione sempre più bruna.</w:t>
      </w:r>
    </w:p>
    <w:p w:rsidR="00F252A3" w:rsidRPr="00484DB6" w:rsidRDefault="00F252A3" w:rsidP="00F252A3">
      <w:pPr>
        <w:rPr>
          <w:rFonts w:cs="Arial"/>
          <w:sz w:val="20"/>
        </w:rPr>
      </w:pPr>
    </w:p>
    <w:p w:rsidR="00F252A3" w:rsidRPr="00484DB6" w:rsidRDefault="00F252A3" w:rsidP="00F252A3">
      <w:pPr>
        <w:rPr>
          <w:rFonts w:cs="Arial"/>
          <w:sz w:val="20"/>
        </w:rPr>
      </w:pPr>
    </w:p>
    <w:p w:rsidR="00F252A3" w:rsidRPr="00484DB6" w:rsidRDefault="00F252A3" w:rsidP="00F252A3">
      <w:pPr>
        <w:jc w:val="center"/>
        <w:rPr>
          <w:rFonts w:cs="Arial"/>
        </w:rPr>
      </w:pPr>
      <w:r w:rsidRPr="00484DB6">
        <w:rPr>
          <w:rFonts w:cs="Arial"/>
          <w:noProof/>
        </w:rPr>
        <w:lastRenderedPageBreak/>
        <w:drawing>
          <wp:inline distT="0" distB="0" distL="0" distR="0">
            <wp:extent cx="6115050" cy="26193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rsidR="00F252A3" w:rsidRPr="00484DB6" w:rsidRDefault="00F252A3" w:rsidP="00F252A3">
      <w:pPr>
        <w:jc w:val="center"/>
        <w:rPr>
          <w:rFonts w:cs="Arial"/>
          <w:sz w:val="16"/>
        </w:rPr>
      </w:pPr>
    </w:p>
    <w:p w:rsidR="00F252A3" w:rsidRPr="00484DB6" w:rsidRDefault="00F252A3" w:rsidP="00F252A3">
      <w:pPr>
        <w:jc w:val="center"/>
        <w:rPr>
          <w:rFonts w:cs="Arial"/>
        </w:rPr>
      </w:pPr>
      <w:r w:rsidRPr="00484DB6">
        <w:rPr>
          <w:rFonts w:cs="Arial"/>
          <w:sz w:val="16"/>
        </w:rPr>
        <w:t>Figura 1 – Colore differente assunto dal COR-TEN in funzione del tempo di esposizione</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Si potranno distinguere 3 tipologie di acciaio COR-TEN: </w:t>
      </w:r>
      <w:r w:rsidRPr="00484DB6">
        <w:rPr>
          <w:rFonts w:cs="Arial"/>
          <w:b/>
          <w:sz w:val="20"/>
        </w:rPr>
        <w:t>A, B, C</w:t>
      </w:r>
      <w:r w:rsidRPr="00484DB6">
        <w:rPr>
          <w:rFonts w:cs="Arial"/>
          <w:sz w:val="20"/>
        </w:rPr>
        <w:t>. In relazione alla diversa composizione chimica (vedi tabella) ed al differente spessore, i tre tipi di COR-TEN presenteranno differenti caratteristiche di resistenza alla corrosione atmosferica e di resistenza meccanica.</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Il COR-TEN </w:t>
      </w:r>
      <w:r w:rsidRPr="00484DB6">
        <w:rPr>
          <w:rFonts w:cs="Arial"/>
          <w:b/>
          <w:sz w:val="20"/>
        </w:rPr>
        <w:t>A</w:t>
      </w:r>
      <w:r w:rsidRPr="00484DB6">
        <w:rPr>
          <w:rFonts w:cs="Arial"/>
          <w:sz w:val="20"/>
        </w:rPr>
        <w:t>, detto “al Fosforo”, dovrà mostrare una resistenza alla corrosione atmosferica da 5 a 8 volte superiore a quella di un comune acciaio al carbonio. Tale tipologia si presterà per essere impiegato allo stato nudo e maggiormente per applicazioni architettoniche.</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Il COR-TEN </w:t>
      </w:r>
      <w:r w:rsidRPr="00484DB6">
        <w:rPr>
          <w:rFonts w:cs="Arial"/>
          <w:b/>
          <w:sz w:val="20"/>
        </w:rPr>
        <w:t>B</w:t>
      </w:r>
      <w:r w:rsidRPr="00484DB6">
        <w:rPr>
          <w:rFonts w:cs="Arial"/>
          <w:sz w:val="20"/>
        </w:rPr>
        <w:t>, comunemente denominato “al Vanadio”, dovrà essere caratterizzato da una composizione chimica che permetta di mantenere elevate caratteristiche meccaniche anche con spessori ridotti. La resistenza alla corrosione atmosferica dovrà essere di circa 4 volte superiore a quella di un comune acciaio al carbonio. Anch'esso potrà essere impiegato allo stato nudo e troverà vasta applicazione in tutte quelle costruzioni, anche complesse, in cui sono richieste particolari forme e strutture.</w:t>
      </w:r>
    </w:p>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Il COR-TEN </w:t>
      </w:r>
      <w:r w:rsidRPr="00484DB6">
        <w:rPr>
          <w:rFonts w:cs="Arial"/>
          <w:b/>
          <w:sz w:val="20"/>
        </w:rPr>
        <w:t>C</w:t>
      </w:r>
      <w:r w:rsidRPr="00484DB6">
        <w:rPr>
          <w:rFonts w:cs="Arial"/>
          <w:sz w:val="20"/>
        </w:rPr>
        <w:t>, che per composizione potrebbe essere definito “al Manganese”, presenterà una resistenza meccanica notevolmente superiore agli altri due tipi (A e B), pur conservando caratteristiche di resistenza alla corrosione atmosferica di circa 4 volte superiori a quelle degli acciai al carbonio. Ne sarà richiesto l'utilizzo specialmente in applicazioni per le quali è necessaria una resistenza meccanica molto elevata (strutture fortemente sollecitate).</w:t>
      </w:r>
    </w:p>
    <w:p w:rsidR="00F252A3" w:rsidRPr="00484DB6" w:rsidRDefault="00F252A3" w:rsidP="00F252A3">
      <w:pPr>
        <w:rPr>
          <w:rFonts w:cs="Arial"/>
          <w:sz w:val="20"/>
        </w:rPr>
      </w:pPr>
    </w:p>
    <w:tbl>
      <w:tblPr>
        <w:tblW w:w="0" w:type="auto"/>
        <w:tblInd w:w="65" w:type="dxa"/>
        <w:tblLayout w:type="fixed"/>
        <w:tblCellMar>
          <w:left w:w="65" w:type="dxa"/>
          <w:right w:w="65" w:type="dxa"/>
        </w:tblCellMar>
        <w:tblLook w:val="0000"/>
      </w:tblPr>
      <w:tblGrid>
        <w:gridCol w:w="1775"/>
        <w:gridCol w:w="1065"/>
        <w:gridCol w:w="1207"/>
        <w:gridCol w:w="994"/>
        <w:gridCol w:w="923"/>
        <w:gridCol w:w="923"/>
        <w:gridCol w:w="994"/>
        <w:gridCol w:w="923"/>
        <w:gridCol w:w="994"/>
      </w:tblGrid>
      <w:tr w:rsidR="00F252A3" w:rsidRPr="00484DB6" w:rsidTr="00B019FF">
        <w:trPr>
          <w:trHeight w:hRule="exact" w:val="491"/>
        </w:trPr>
        <w:tc>
          <w:tcPr>
            <w:tcW w:w="9798" w:type="dxa"/>
            <w:gridSpan w:val="9"/>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b/>
                <w:sz w:val="20"/>
              </w:rPr>
              <w:t>Composizione chimica COR-TEN</w:t>
            </w:r>
          </w:p>
        </w:tc>
      </w:tr>
      <w:tr w:rsidR="00F252A3" w:rsidRPr="00484DB6" w:rsidTr="00B019FF">
        <w:trPr>
          <w:trHeight w:hRule="exact" w:val="581"/>
        </w:trPr>
        <w:tc>
          <w:tcPr>
            <w:tcW w:w="17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highlight w:val="yellow"/>
                <w:shd w:val="clear" w:color="auto" w:fill="FFFF80"/>
              </w:rPr>
            </w:pPr>
            <w:r w:rsidRPr="00484DB6">
              <w:rPr>
                <w:rFonts w:cs="Arial"/>
                <w:sz w:val="16"/>
              </w:rPr>
              <w:t>Classe</w:t>
            </w:r>
          </w:p>
        </w:tc>
        <w:tc>
          <w:tcPr>
            <w:tcW w:w="106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Carbonio %</w:t>
            </w:r>
          </w:p>
        </w:tc>
        <w:tc>
          <w:tcPr>
            <w:tcW w:w="12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Manganese %</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Fosforo %</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Zolfo %</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Silicio %</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Rame %</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Cromo %</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Nichel %</w:t>
            </w:r>
          </w:p>
        </w:tc>
      </w:tr>
      <w:tr w:rsidR="00F252A3" w:rsidRPr="00484DB6" w:rsidTr="00B019FF">
        <w:trPr>
          <w:trHeight w:hRule="exact" w:val="566"/>
        </w:trPr>
        <w:tc>
          <w:tcPr>
            <w:tcW w:w="17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highlight w:val="yellow"/>
                <w:shd w:val="clear" w:color="auto" w:fill="FFFF80"/>
              </w:rPr>
            </w:pPr>
            <w:r w:rsidRPr="00484DB6">
              <w:rPr>
                <w:rFonts w:cs="Arial"/>
                <w:b/>
                <w:sz w:val="20"/>
              </w:rPr>
              <w:t>A</w:t>
            </w:r>
          </w:p>
        </w:tc>
        <w:tc>
          <w:tcPr>
            <w:tcW w:w="106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0,12</w:t>
            </w:r>
          </w:p>
        </w:tc>
        <w:tc>
          <w:tcPr>
            <w:tcW w:w="12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0,2-0,5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0,07-0,15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0,035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0,25-0,75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0,25-0,75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0,3-1,25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0,65</w:t>
            </w:r>
          </w:p>
        </w:tc>
      </w:tr>
      <w:tr w:rsidR="00F252A3" w:rsidRPr="00484DB6" w:rsidTr="00B019FF">
        <w:trPr>
          <w:trHeight w:hRule="exact" w:val="566"/>
        </w:trPr>
        <w:tc>
          <w:tcPr>
            <w:tcW w:w="17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highlight w:val="yellow"/>
                <w:shd w:val="clear" w:color="auto" w:fill="FFFF80"/>
              </w:rPr>
            </w:pPr>
            <w:r w:rsidRPr="00484DB6">
              <w:rPr>
                <w:rFonts w:cs="Arial"/>
                <w:b/>
                <w:sz w:val="20"/>
              </w:rPr>
              <w:t>B</w:t>
            </w:r>
          </w:p>
        </w:tc>
        <w:tc>
          <w:tcPr>
            <w:tcW w:w="106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0,10-0,19</w:t>
            </w:r>
          </w:p>
        </w:tc>
        <w:tc>
          <w:tcPr>
            <w:tcW w:w="12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0,9-1,25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0,025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0,035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0,15-0,30</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0,25-0,40</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0,4-0,65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0,2-0,1</w:t>
            </w:r>
          </w:p>
        </w:tc>
      </w:tr>
      <w:tr w:rsidR="00F252A3" w:rsidRPr="00484DB6" w:rsidTr="00B019FF">
        <w:trPr>
          <w:trHeight w:hRule="exact" w:val="566"/>
        </w:trPr>
        <w:tc>
          <w:tcPr>
            <w:tcW w:w="177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highlight w:val="yellow"/>
                <w:shd w:val="clear" w:color="auto" w:fill="FFFF80"/>
              </w:rPr>
            </w:pPr>
            <w:r w:rsidRPr="00484DB6">
              <w:rPr>
                <w:rFonts w:cs="Arial"/>
                <w:b/>
                <w:sz w:val="20"/>
              </w:rPr>
              <w:t>C</w:t>
            </w:r>
          </w:p>
        </w:tc>
        <w:tc>
          <w:tcPr>
            <w:tcW w:w="1065"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0,12-0,19</w:t>
            </w:r>
          </w:p>
        </w:tc>
        <w:tc>
          <w:tcPr>
            <w:tcW w:w="12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0,9-1,35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0,025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0,035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0,15-0,30</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0,25-0,40</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0,4-0,7</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0,04-0,1</w:t>
            </w:r>
          </w:p>
        </w:tc>
      </w:tr>
    </w:tbl>
    <w:p w:rsidR="00F252A3" w:rsidRPr="00484DB6" w:rsidRDefault="00F252A3"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L'installazione in ambienti esterni con il susseguirsi di cicli </w:t>
      </w:r>
      <w:proofErr w:type="spellStart"/>
      <w:r w:rsidRPr="00484DB6">
        <w:rPr>
          <w:rFonts w:cs="Arial"/>
          <w:sz w:val="20"/>
        </w:rPr>
        <w:t>wet</w:t>
      </w:r>
      <w:proofErr w:type="spellEnd"/>
      <w:r w:rsidRPr="00484DB6">
        <w:rPr>
          <w:rFonts w:cs="Arial"/>
          <w:sz w:val="20"/>
        </w:rPr>
        <w:t xml:space="preserve">/dry (bagnato/asciutto) è una delle condizioni necessarie per la formazione di una patina densa e ben aderente. In ambienti interni sarà necessaria la </w:t>
      </w:r>
      <w:proofErr w:type="spellStart"/>
      <w:r w:rsidRPr="00484DB6">
        <w:rPr>
          <w:rFonts w:cs="Arial"/>
          <w:sz w:val="20"/>
        </w:rPr>
        <w:t>pre-ossidazione</w:t>
      </w:r>
      <w:proofErr w:type="spellEnd"/>
      <w:r w:rsidRPr="00484DB6">
        <w:rPr>
          <w:rFonts w:cs="Arial"/>
          <w:sz w:val="20"/>
        </w:rPr>
        <w:t xml:space="preserve"> del materiale con la patina protettiva già formata artificialmente tramite processi di accelerazione.</w:t>
      </w:r>
    </w:p>
    <w:p w:rsidR="00F252A3" w:rsidRPr="00484DB6" w:rsidRDefault="00F252A3" w:rsidP="00F252A3">
      <w:pPr>
        <w:ind w:firstLine="284"/>
        <w:rPr>
          <w:rFonts w:cs="Arial"/>
          <w:sz w:val="20"/>
        </w:rPr>
      </w:pPr>
      <w:r w:rsidRPr="00484DB6">
        <w:rPr>
          <w:rFonts w:cs="Arial"/>
          <w:sz w:val="20"/>
        </w:rPr>
        <w:t xml:space="preserve">La formazione del film superficiale passivante avviene infatti solo in presenza di determinate </w:t>
      </w:r>
      <w:r w:rsidRPr="00484DB6">
        <w:rPr>
          <w:rFonts w:cs="Arial"/>
          <w:sz w:val="20"/>
        </w:rPr>
        <w:lastRenderedPageBreak/>
        <w:t>condizioni ambientali, quali:</w:t>
      </w:r>
    </w:p>
    <w:p w:rsidR="00F252A3" w:rsidRPr="00484DB6" w:rsidRDefault="00F252A3" w:rsidP="00F252A3">
      <w:pPr>
        <w:numPr>
          <w:ilvl w:val="0"/>
          <w:numId w:val="65"/>
        </w:numPr>
        <w:autoSpaceDE w:val="0"/>
        <w:autoSpaceDN w:val="0"/>
        <w:adjustRightInd w:val="0"/>
        <w:ind w:left="425" w:hanging="425"/>
        <w:jc w:val="left"/>
        <w:rPr>
          <w:rFonts w:cs="Arial"/>
          <w:sz w:val="20"/>
        </w:rPr>
      </w:pPr>
      <w:r w:rsidRPr="00484DB6">
        <w:rPr>
          <w:rFonts w:cs="Arial"/>
          <w:sz w:val="20"/>
        </w:rPr>
        <w:t>esposizione all'atmosfera;</w:t>
      </w:r>
    </w:p>
    <w:p w:rsidR="00F252A3" w:rsidRPr="00484DB6" w:rsidRDefault="00F252A3" w:rsidP="00F252A3">
      <w:pPr>
        <w:numPr>
          <w:ilvl w:val="0"/>
          <w:numId w:val="65"/>
        </w:numPr>
        <w:autoSpaceDE w:val="0"/>
        <w:autoSpaceDN w:val="0"/>
        <w:adjustRightInd w:val="0"/>
        <w:ind w:left="425" w:hanging="425"/>
        <w:jc w:val="left"/>
        <w:rPr>
          <w:rFonts w:cs="Arial"/>
          <w:sz w:val="20"/>
        </w:rPr>
      </w:pPr>
      <w:r w:rsidRPr="00484DB6">
        <w:rPr>
          <w:rFonts w:cs="Arial"/>
          <w:sz w:val="20"/>
        </w:rPr>
        <w:t>alternanza di cicli di bagnato-asciutto;</w:t>
      </w:r>
    </w:p>
    <w:p w:rsidR="00F252A3" w:rsidRPr="00484DB6" w:rsidRDefault="00F252A3" w:rsidP="00F252A3">
      <w:pPr>
        <w:numPr>
          <w:ilvl w:val="0"/>
          <w:numId w:val="65"/>
        </w:numPr>
        <w:autoSpaceDE w:val="0"/>
        <w:autoSpaceDN w:val="0"/>
        <w:adjustRightInd w:val="0"/>
        <w:ind w:left="425" w:hanging="425"/>
        <w:jc w:val="left"/>
        <w:rPr>
          <w:rFonts w:cs="Arial"/>
          <w:sz w:val="20"/>
        </w:rPr>
      </w:pPr>
      <w:r w:rsidRPr="00484DB6">
        <w:rPr>
          <w:rFonts w:cs="Arial"/>
          <w:sz w:val="20"/>
        </w:rPr>
        <w:t>assenza di ristagni e/o contatti permanenti con acqua;</w:t>
      </w:r>
    </w:p>
    <w:p w:rsidR="00F252A3" w:rsidRPr="00484DB6" w:rsidRDefault="00F252A3" w:rsidP="00F252A3">
      <w:pPr>
        <w:numPr>
          <w:ilvl w:val="0"/>
          <w:numId w:val="65"/>
        </w:numPr>
        <w:autoSpaceDE w:val="0"/>
        <w:autoSpaceDN w:val="0"/>
        <w:adjustRightInd w:val="0"/>
        <w:ind w:left="425" w:hanging="425"/>
        <w:jc w:val="left"/>
        <w:rPr>
          <w:rFonts w:cs="Arial"/>
          <w:sz w:val="20"/>
        </w:rPr>
      </w:pPr>
      <w:r w:rsidRPr="00484DB6">
        <w:rPr>
          <w:rFonts w:cs="Arial"/>
          <w:sz w:val="20"/>
        </w:rPr>
        <w:t>ambienti privi di cloruri o di acqua di mare;</w:t>
      </w:r>
    </w:p>
    <w:p w:rsidR="00F252A3" w:rsidRPr="00484DB6" w:rsidRDefault="00F252A3" w:rsidP="00F252A3">
      <w:pPr>
        <w:numPr>
          <w:ilvl w:val="0"/>
          <w:numId w:val="65"/>
        </w:numPr>
        <w:autoSpaceDE w:val="0"/>
        <w:autoSpaceDN w:val="0"/>
        <w:adjustRightInd w:val="0"/>
        <w:ind w:left="425" w:hanging="425"/>
        <w:jc w:val="left"/>
        <w:rPr>
          <w:rFonts w:cs="Arial"/>
          <w:sz w:val="20"/>
        </w:rPr>
      </w:pPr>
      <w:r w:rsidRPr="00484DB6">
        <w:rPr>
          <w:rFonts w:cs="Arial"/>
          <w:sz w:val="20"/>
        </w:rPr>
        <w:t>assenza di pitture o cere protettive.</w:t>
      </w:r>
    </w:p>
    <w:p w:rsidR="00F252A3" w:rsidRPr="00484DB6" w:rsidRDefault="00F252A3" w:rsidP="00F252A3">
      <w:pPr>
        <w:rPr>
          <w:rFonts w:cs="Arial"/>
          <w:sz w:val="20"/>
        </w:rPr>
      </w:pPr>
    </w:p>
    <w:p w:rsidR="00F252A3" w:rsidRPr="00484DB6" w:rsidRDefault="00F252A3" w:rsidP="00F252A3">
      <w:pPr>
        <w:rPr>
          <w:rFonts w:cs="Arial"/>
          <w:b/>
          <w:sz w:val="20"/>
        </w:rPr>
      </w:pPr>
    </w:p>
    <w:p w:rsidR="00F252A3" w:rsidRPr="00484DB6" w:rsidRDefault="00F252A3" w:rsidP="00F252A3">
      <w:pPr>
        <w:rPr>
          <w:rFonts w:cs="Arial"/>
          <w:b/>
          <w:sz w:val="20"/>
        </w:rPr>
      </w:pPr>
      <w:r w:rsidRPr="00484DB6">
        <w:rPr>
          <w:rFonts w:cs="Arial"/>
          <w:b/>
          <w:sz w:val="20"/>
        </w:rPr>
        <w:t>Caratteristiche fisiche e meccaniche</w:t>
      </w:r>
    </w:p>
    <w:p w:rsidR="00F252A3" w:rsidRPr="00484DB6" w:rsidRDefault="00F252A3" w:rsidP="00F252A3">
      <w:pPr>
        <w:rPr>
          <w:rFonts w:cs="Arial"/>
        </w:rPr>
      </w:pPr>
    </w:p>
    <w:tbl>
      <w:tblPr>
        <w:tblW w:w="0" w:type="auto"/>
        <w:tblInd w:w="65" w:type="dxa"/>
        <w:tblLayout w:type="fixed"/>
        <w:tblCellMar>
          <w:left w:w="65" w:type="dxa"/>
          <w:right w:w="65" w:type="dxa"/>
        </w:tblCellMar>
        <w:tblLook w:val="0000"/>
      </w:tblPr>
      <w:tblGrid>
        <w:gridCol w:w="1562"/>
        <w:gridCol w:w="781"/>
        <w:gridCol w:w="923"/>
        <w:gridCol w:w="852"/>
        <w:gridCol w:w="852"/>
        <w:gridCol w:w="923"/>
        <w:gridCol w:w="781"/>
        <w:gridCol w:w="994"/>
        <w:gridCol w:w="999"/>
        <w:gridCol w:w="989"/>
      </w:tblGrid>
      <w:tr w:rsidR="00F252A3" w:rsidRPr="00484DB6" w:rsidTr="00B019FF">
        <w:trPr>
          <w:trHeight w:hRule="exact" w:val="453"/>
        </w:trPr>
        <w:tc>
          <w:tcPr>
            <w:tcW w:w="1562"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b/>
                <w:sz w:val="18"/>
              </w:rPr>
              <w:t xml:space="preserve">Designazione </w:t>
            </w:r>
          </w:p>
          <w:p w:rsidR="00F252A3" w:rsidRPr="00484DB6" w:rsidRDefault="00F252A3" w:rsidP="00B019FF">
            <w:pPr>
              <w:jc w:val="center"/>
              <w:rPr>
                <w:rFonts w:cs="Arial"/>
                <w:sz w:val="16"/>
              </w:rPr>
            </w:pPr>
            <w:r w:rsidRPr="00484DB6">
              <w:rPr>
                <w:rFonts w:cs="Arial"/>
                <w:sz w:val="18"/>
              </w:rPr>
              <w:t>(UNI EN 10027)</w:t>
            </w:r>
          </w:p>
        </w:tc>
        <w:tc>
          <w:tcPr>
            <w:tcW w:w="5112" w:type="dxa"/>
            <w:gridSpan w:val="6"/>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b/>
                <w:sz w:val="18"/>
              </w:rPr>
              <w:t>Carico unitario di snervamento</w:t>
            </w:r>
            <w:r w:rsidRPr="00484DB6">
              <w:rPr>
                <w:rFonts w:cs="Arial"/>
                <w:sz w:val="18"/>
              </w:rPr>
              <w:t xml:space="preserve"> - </w:t>
            </w:r>
            <w:r w:rsidRPr="00484DB6">
              <w:rPr>
                <w:rFonts w:cs="Arial"/>
                <w:sz w:val="16"/>
              </w:rPr>
              <w:t>ReH (N/mm</w:t>
            </w:r>
            <w:r w:rsidRPr="00484DB6">
              <w:rPr>
                <w:rFonts w:cs="Arial"/>
                <w:sz w:val="16"/>
                <w:vertAlign w:val="superscript"/>
              </w:rPr>
              <w:t>2</w:t>
            </w:r>
            <w:r w:rsidRPr="00484DB6">
              <w:rPr>
                <w:rFonts w:cs="Arial"/>
                <w:sz w:val="16"/>
              </w:rPr>
              <w:t>)</w:t>
            </w:r>
          </w:p>
        </w:tc>
        <w:tc>
          <w:tcPr>
            <w:tcW w:w="2982" w:type="dxa"/>
            <w:gridSpan w:val="3"/>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b/>
                <w:sz w:val="18"/>
              </w:rPr>
              <w:t>Tensione di rottura</w:t>
            </w:r>
            <w:r w:rsidRPr="00484DB6">
              <w:rPr>
                <w:rFonts w:cs="Arial"/>
                <w:sz w:val="18"/>
              </w:rPr>
              <w:t xml:space="preserve"> - </w:t>
            </w:r>
            <w:proofErr w:type="spellStart"/>
            <w:r w:rsidRPr="00484DB6">
              <w:rPr>
                <w:rFonts w:cs="Arial"/>
                <w:sz w:val="16"/>
              </w:rPr>
              <w:t>Rm</w:t>
            </w:r>
            <w:proofErr w:type="spellEnd"/>
            <w:r w:rsidRPr="00484DB6">
              <w:rPr>
                <w:rFonts w:cs="Arial"/>
                <w:sz w:val="16"/>
              </w:rPr>
              <w:t xml:space="preserve"> (N/mm</w:t>
            </w:r>
            <w:r w:rsidRPr="00484DB6">
              <w:rPr>
                <w:rFonts w:cs="Arial"/>
                <w:sz w:val="16"/>
                <w:vertAlign w:val="superscript"/>
              </w:rPr>
              <w:t>2</w:t>
            </w:r>
            <w:r w:rsidRPr="00484DB6">
              <w:rPr>
                <w:rFonts w:cs="Arial"/>
                <w:sz w:val="16"/>
              </w:rPr>
              <w:t>)</w:t>
            </w:r>
          </w:p>
        </w:tc>
      </w:tr>
      <w:tr w:rsidR="00F252A3" w:rsidRPr="00484DB6" w:rsidTr="00B019FF">
        <w:trPr>
          <w:trHeight w:hRule="exact" w:val="453"/>
        </w:trPr>
        <w:tc>
          <w:tcPr>
            <w:tcW w:w="1562"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5112" w:type="dxa"/>
            <w:gridSpan w:val="6"/>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Spessori nominali (mm)</w:t>
            </w:r>
          </w:p>
        </w:tc>
        <w:tc>
          <w:tcPr>
            <w:tcW w:w="2982" w:type="dxa"/>
            <w:gridSpan w:val="3"/>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8"/>
              </w:rPr>
            </w:pPr>
            <w:r w:rsidRPr="00484DB6">
              <w:rPr>
                <w:rFonts w:cs="Arial"/>
                <w:sz w:val="18"/>
              </w:rPr>
              <w:t>Spessori nominali (mm)</w:t>
            </w:r>
          </w:p>
        </w:tc>
      </w:tr>
      <w:tr w:rsidR="00F252A3" w:rsidRPr="00484DB6" w:rsidTr="00B019FF">
        <w:trPr>
          <w:trHeight w:hRule="exact" w:val="453"/>
        </w:trPr>
        <w:tc>
          <w:tcPr>
            <w:tcW w:w="1562"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&lt;16</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16 - 40</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40 - 63</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63 - 80</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80 - 100</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100 - 150</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&lt;3</w:t>
            </w:r>
          </w:p>
        </w:tc>
        <w:tc>
          <w:tcPr>
            <w:tcW w:w="99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3 - 100</w:t>
            </w:r>
          </w:p>
        </w:tc>
        <w:tc>
          <w:tcPr>
            <w:tcW w:w="98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16"/>
              </w:rPr>
            </w:pPr>
            <w:r w:rsidRPr="00484DB6">
              <w:rPr>
                <w:rFonts w:cs="Arial"/>
                <w:i/>
                <w:sz w:val="16"/>
              </w:rPr>
              <w:t>100 - 150</w:t>
            </w:r>
          </w:p>
        </w:tc>
      </w:tr>
      <w:tr w:rsidR="00F252A3" w:rsidRPr="00484DB6" w:rsidTr="00B019FF">
        <w:trPr>
          <w:trHeight w:hRule="exact" w:val="453"/>
        </w:trPr>
        <w:tc>
          <w:tcPr>
            <w:tcW w:w="156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b/>
                <w:sz w:val="16"/>
              </w:rPr>
              <w:t>S235J0(J2)WP</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235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225</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215</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215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215</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195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360-510</w:t>
            </w:r>
          </w:p>
        </w:tc>
        <w:tc>
          <w:tcPr>
            <w:tcW w:w="99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360-510</w:t>
            </w:r>
          </w:p>
        </w:tc>
        <w:tc>
          <w:tcPr>
            <w:tcW w:w="98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350-500</w:t>
            </w:r>
          </w:p>
        </w:tc>
      </w:tr>
      <w:tr w:rsidR="00F252A3" w:rsidRPr="00484DB6" w:rsidTr="00B019FF">
        <w:trPr>
          <w:trHeight w:hRule="exact" w:val="453"/>
        </w:trPr>
        <w:tc>
          <w:tcPr>
            <w:tcW w:w="156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b/>
                <w:sz w:val="16"/>
              </w:rPr>
              <w:t>S355J0(J2)WP</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355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345</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510-680</w:t>
            </w:r>
          </w:p>
        </w:tc>
        <w:tc>
          <w:tcPr>
            <w:tcW w:w="99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470-630</w:t>
            </w:r>
          </w:p>
        </w:tc>
        <w:tc>
          <w:tcPr>
            <w:tcW w:w="98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r>
      <w:tr w:rsidR="00F252A3" w:rsidRPr="00484DB6" w:rsidTr="00B019FF">
        <w:trPr>
          <w:trHeight w:hRule="exact" w:val="453"/>
        </w:trPr>
        <w:tc>
          <w:tcPr>
            <w:tcW w:w="156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b/>
                <w:sz w:val="16"/>
              </w:rPr>
              <w:t>S355J0(J2/K2)W</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355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345</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335</w:t>
            </w:r>
          </w:p>
        </w:tc>
        <w:tc>
          <w:tcPr>
            <w:tcW w:w="852"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325</w:t>
            </w:r>
          </w:p>
        </w:tc>
        <w:tc>
          <w:tcPr>
            <w:tcW w:w="923"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315</w:t>
            </w:r>
          </w:p>
        </w:tc>
        <w:tc>
          <w:tcPr>
            <w:tcW w:w="781"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295</w:t>
            </w:r>
          </w:p>
        </w:tc>
        <w:tc>
          <w:tcPr>
            <w:tcW w:w="99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510-680</w:t>
            </w:r>
          </w:p>
        </w:tc>
        <w:tc>
          <w:tcPr>
            <w:tcW w:w="99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470-630</w:t>
            </w:r>
          </w:p>
        </w:tc>
        <w:tc>
          <w:tcPr>
            <w:tcW w:w="989"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450-600</w:t>
            </w:r>
          </w:p>
        </w:tc>
      </w:tr>
    </w:tbl>
    <w:p w:rsidR="00F252A3" w:rsidRPr="00484DB6" w:rsidRDefault="00F252A3" w:rsidP="00F252A3">
      <w:pPr>
        <w:rPr>
          <w:rFonts w:cs="Arial"/>
          <w:sz w:val="20"/>
        </w:rPr>
      </w:pPr>
    </w:p>
    <w:p w:rsidR="00F252A3" w:rsidRPr="00484DB6" w:rsidRDefault="00F252A3" w:rsidP="00F252A3">
      <w:pPr>
        <w:rPr>
          <w:rFonts w:cs="Arial"/>
          <w:sz w:val="20"/>
        </w:rPr>
      </w:pPr>
    </w:p>
    <w:tbl>
      <w:tblPr>
        <w:tblW w:w="0" w:type="auto"/>
        <w:tblInd w:w="65" w:type="dxa"/>
        <w:tblLayout w:type="fixed"/>
        <w:tblCellMar>
          <w:left w:w="65" w:type="dxa"/>
          <w:right w:w="65" w:type="dxa"/>
        </w:tblCellMar>
        <w:tblLook w:val="0000"/>
      </w:tblPr>
      <w:tblGrid>
        <w:gridCol w:w="3210"/>
        <w:gridCol w:w="3210"/>
        <w:gridCol w:w="3210"/>
      </w:tblGrid>
      <w:tr w:rsidR="00F252A3" w:rsidRPr="00484DB6" w:rsidTr="00B019FF">
        <w:trPr>
          <w:trHeight w:hRule="exact" w:val="340"/>
        </w:trPr>
        <w:tc>
          <w:tcPr>
            <w:tcW w:w="9630" w:type="dxa"/>
            <w:gridSpan w:val="3"/>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b/>
                <w:sz w:val="20"/>
              </w:rPr>
            </w:pPr>
            <w:r w:rsidRPr="00484DB6">
              <w:rPr>
                <w:rFonts w:cs="Arial"/>
                <w:b/>
                <w:sz w:val="20"/>
              </w:rPr>
              <w:t>Resilienza</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20"/>
              </w:rPr>
            </w:pPr>
            <w:r w:rsidRPr="00484DB6">
              <w:rPr>
                <w:rFonts w:cs="Arial"/>
                <w:i/>
                <w:sz w:val="20"/>
              </w:rPr>
              <w:t>min. 27 Joule</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20"/>
              </w:rPr>
            </w:pPr>
            <w:r w:rsidRPr="00484DB6">
              <w:rPr>
                <w:rFonts w:cs="Arial"/>
                <w:i/>
                <w:sz w:val="20"/>
              </w:rPr>
              <w:t>min. 40 Joule</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i/>
                <w:sz w:val="20"/>
              </w:rPr>
            </w:pPr>
            <w:r w:rsidRPr="00484DB6">
              <w:rPr>
                <w:rFonts w:cs="Arial"/>
                <w:i/>
                <w:sz w:val="20"/>
              </w:rPr>
              <w:t>Temp. °C</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JR</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KR</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20</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J0</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K0</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0</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J2</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K2</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-20</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J3</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K3</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-30</w:t>
            </w:r>
          </w:p>
        </w:tc>
      </w:tr>
      <w:tr w:rsidR="00F252A3" w:rsidRPr="00484DB6" w:rsidTr="00B019FF">
        <w:trPr>
          <w:trHeight w:hRule="exact" w:val="340"/>
        </w:trPr>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J4</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K4</w:t>
            </w:r>
          </w:p>
        </w:tc>
        <w:tc>
          <w:tcPr>
            <w:tcW w:w="3210"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20"/>
              </w:rPr>
            </w:pPr>
            <w:r w:rsidRPr="00484DB6">
              <w:rPr>
                <w:rFonts w:cs="Arial"/>
                <w:sz w:val="20"/>
              </w:rPr>
              <w:t>-40</w:t>
            </w:r>
          </w:p>
        </w:tc>
      </w:tr>
    </w:tbl>
    <w:p w:rsidR="00F252A3" w:rsidRPr="00484DB6" w:rsidRDefault="00F252A3" w:rsidP="00F252A3">
      <w:pPr>
        <w:rPr>
          <w:rFonts w:cs="Arial"/>
        </w:rPr>
      </w:pPr>
    </w:p>
    <w:p w:rsidR="00F252A3" w:rsidRPr="00484DB6" w:rsidRDefault="00F252A3" w:rsidP="00F252A3">
      <w:pPr>
        <w:rPr>
          <w:rFonts w:cs="Arial"/>
        </w:rPr>
      </w:pPr>
    </w:p>
    <w:p w:rsidR="00F252A3" w:rsidRDefault="00F252A3" w:rsidP="00F252A3">
      <w:pPr>
        <w:rPr>
          <w:rFonts w:cs="Arial"/>
          <w:sz w:val="20"/>
        </w:rPr>
      </w:pPr>
      <w:r w:rsidRPr="00484DB6">
        <w:rPr>
          <w:rFonts w:cs="Arial"/>
          <w:sz w:val="20"/>
        </w:rPr>
        <w:t>Gli elementi in acciaio COR-TEN da realizzare sono individuati quindi come di seguito:</w:t>
      </w:r>
    </w:p>
    <w:p w:rsidR="007F3291" w:rsidRPr="00484DB6" w:rsidRDefault="007F3291" w:rsidP="00F252A3">
      <w:pPr>
        <w:rPr>
          <w:rFonts w:cs="Arial"/>
          <w:sz w:val="20"/>
        </w:rPr>
      </w:pPr>
    </w:p>
    <w:p w:rsidR="00F252A3" w:rsidRPr="00484DB6" w:rsidRDefault="00F252A3" w:rsidP="00F252A3">
      <w:pPr>
        <w:ind w:firstLine="284"/>
        <w:rPr>
          <w:rFonts w:cs="Arial"/>
          <w:sz w:val="20"/>
        </w:rPr>
      </w:pPr>
      <w:r w:rsidRPr="00484DB6">
        <w:rPr>
          <w:rFonts w:cs="Arial"/>
          <w:sz w:val="20"/>
        </w:rPr>
        <w:t xml:space="preserve">I materiali dovranno essere conformi alle prescrizioni definite a livello nazionale dalla Norma UNI EN 10025-5 </w:t>
      </w:r>
    </w:p>
    <w:p w:rsidR="00F252A3" w:rsidRPr="00484DB6" w:rsidRDefault="00F252A3" w:rsidP="00F252A3">
      <w:pPr>
        <w:ind w:firstLine="284"/>
        <w:rPr>
          <w:rFonts w:cs="Arial"/>
          <w:sz w:val="20"/>
        </w:rPr>
      </w:pPr>
    </w:p>
    <w:tbl>
      <w:tblPr>
        <w:tblW w:w="0" w:type="auto"/>
        <w:tblInd w:w="65" w:type="dxa"/>
        <w:tblLayout w:type="fixed"/>
        <w:tblCellMar>
          <w:left w:w="65" w:type="dxa"/>
          <w:right w:w="65" w:type="dxa"/>
        </w:tblCellMar>
        <w:tblLook w:val="0000"/>
      </w:tblPr>
      <w:tblGrid>
        <w:gridCol w:w="3834"/>
        <w:gridCol w:w="5796"/>
      </w:tblGrid>
      <w:tr w:rsidR="00F252A3" w:rsidRPr="00484DB6" w:rsidTr="00B019FF">
        <w:trPr>
          <w:trHeight w:hRule="exact" w:val="396"/>
        </w:trPr>
        <w:tc>
          <w:tcPr>
            <w:tcW w:w="9630" w:type="dxa"/>
            <w:gridSpan w:val="2"/>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b/>
                <w:sz w:val="20"/>
              </w:rPr>
              <w:t>Caratteristiche fisico-tecniche dei materiali richiesti</w:t>
            </w:r>
          </w:p>
        </w:tc>
      </w:tr>
      <w:tr w:rsidR="00F252A3" w:rsidRPr="00484DB6" w:rsidTr="00B019FF">
        <w:trPr>
          <w:trHeight w:hRule="exact" w:val="396"/>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Designazione (UNI EN 10027)</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[es. S355J0WP]</w:t>
            </w:r>
          </w:p>
        </w:tc>
      </w:tr>
      <w:tr w:rsidR="00F252A3" w:rsidRPr="00484DB6" w:rsidTr="00B019FF">
        <w:trPr>
          <w:trHeight w:hRule="exact" w:val="396"/>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COR-TEN (tipo)</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[es. A]</w:t>
            </w:r>
          </w:p>
        </w:tc>
      </w:tr>
      <w:tr w:rsidR="00F252A3" w:rsidRPr="00484DB6" w:rsidTr="00B019FF">
        <w:trPr>
          <w:trHeight w:hRule="exact" w:val="396"/>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Modulo di elasticità</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19.600 - 21.000 Kg/mm</w:t>
            </w:r>
            <w:r w:rsidRPr="00484DB6">
              <w:rPr>
                <w:rFonts w:cs="Arial"/>
                <w:i/>
                <w:sz w:val="20"/>
                <w:vertAlign w:val="superscript"/>
              </w:rPr>
              <w:t>2</w:t>
            </w:r>
          </w:p>
        </w:tc>
      </w:tr>
      <w:tr w:rsidR="00F252A3" w:rsidRPr="00484DB6" w:rsidTr="00B019FF">
        <w:trPr>
          <w:trHeight w:hRule="exact" w:val="396"/>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Snervamento Re (N/mm</w:t>
            </w:r>
            <w:r w:rsidRPr="00484DB6">
              <w:rPr>
                <w:rFonts w:cs="Arial"/>
                <w:sz w:val="20"/>
                <w:vertAlign w:val="superscript"/>
              </w:rPr>
              <w:t>2</w:t>
            </w:r>
            <w:r w:rsidRPr="00484DB6">
              <w:rPr>
                <w:rFonts w:cs="Arial"/>
                <w:sz w:val="20"/>
              </w:rPr>
              <w:t>)</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[es. 355]</w:t>
            </w:r>
          </w:p>
        </w:tc>
      </w:tr>
      <w:tr w:rsidR="00F252A3" w:rsidRPr="00484DB6" w:rsidTr="00B019FF">
        <w:trPr>
          <w:trHeight w:hRule="exact" w:val="471"/>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 xml:space="preserve">Resistenza a trazione </w:t>
            </w:r>
            <w:proofErr w:type="spellStart"/>
            <w:r w:rsidRPr="00484DB6">
              <w:rPr>
                <w:rFonts w:cs="Arial"/>
                <w:sz w:val="20"/>
              </w:rPr>
              <w:t>Rm</w:t>
            </w:r>
            <w:proofErr w:type="spellEnd"/>
            <w:r w:rsidRPr="00484DB6">
              <w:rPr>
                <w:rFonts w:cs="Arial"/>
                <w:sz w:val="20"/>
              </w:rPr>
              <w:t xml:space="preserve"> (N/mm</w:t>
            </w:r>
            <w:r w:rsidRPr="00484DB6">
              <w:rPr>
                <w:rFonts w:cs="Arial"/>
                <w:sz w:val="20"/>
                <w:vertAlign w:val="superscript"/>
              </w:rPr>
              <w:t>2</w:t>
            </w:r>
            <w:r w:rsidRPr="00484DB6">
              <w:rPr>
                <w:rFonts w:cs="Arial"/>
                <w:sz w:val="20"/>
              </w:rPr>
              <w:t>)</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[es. 510 - 680]</w:t>
            </w:r>
          </w:p>
        </w:tc>
      </w:tr>
      <w:tr w:rsidR="00F252A3" w:rsidRPr="00484DB6" w:rsidTr="00B019FF">
        <w:trPr>
          <w:trHeight w:hRule="exact" w:val="396"/>
        </w:trPr>
        <w:tc>
          <w:tcPr>
            <w:tcW w:w="3834"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20"/>
              </w:rPr>
            </w:pPr>
            <w:r w:rsidRPr="00484DB6">
              <w:rPr>
                <w:rFonts w:cs="Arial"/>
                <w:sz w:val="20"/>
              </w:rPr>
              <w:t>Certificazioni</w:t>
            </w:r>
          </w:p>
        </w:tc>
        <w:tc>
          <w:tcPr>
            <w:tcW w:w="5796"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i/>
                <w:sz w:val="20"/>
              </w:rPr>
            </w:pPr>
            <w:r w:rsidRPr="00484DB6">
              <w:rPr>
                <w:rFonts w:cs="Arial"/>
                <w:i/>
                <w:sz w:val="20"/>
              </w:rPr>
              <w:t>[Marchio CE, …]</w:t>
            </w:r>
          </w:p>
        </w:tc>
      </w:tr>
    </w:tbl>
    <w:p w:rsidR="00F252A3" w:rsidRPr="00484DB6" w:rsidRDefault="00F252A3" w:rsidP="00F252A3">
      <w:pPr>
        <w:rPr>
          <w:rFonts w:cs="Arial"/>
        </w:rPr>
      </w:pPr>
    </w:p>
    <w:p w:rsidR="007F3291" w:rsidRDefault="007F3291" w:rsidP="00F252A3">
      <w:pPr>
        <w:rPr>
          <w:rFonts w:cs="Arial"/>
          <w:vanish/>
          <w:sz w:val="14"/>
        </w:rPr>
      </w:pPr>
      <w:bookmarkStart w:id="29" w:name="454"/>
      <w:bookmarkEnd w:id="29"/>
    </w:p>
    <w:p w:rsidR="00F252A3" w:rsidRPr="00484DB6" w:rsidRDefault="00F252A3" w:rsidP="00F252A3">
      <w:pPr>
        <w:rPr>
          <w:rFonts w:cs="Arial"/>
          <w:sz w:val="20"/>
        </w:rPr>
      </w:pPr>
      <w:r w:rsidRPr="00484DB6">
        <w:rPr>
          <w:rFonts w:cs="Arial"/>
          <w:b/>
          <w:sz w:val="20"/>
        </w:rPr>
        <w:t>Prescrizioni operative</w:t>
      </w:r>
    </w:p>
    <w:p w:rsidR="00F252A3" w:rsidRPr="00484DB6" w:rsidRDefault="00F252A3" w:rsidP="00F252A3">
      <w:pPr>
        <w:ind w:firstLine="284"/>
        <w:rPr>
          <w:rFonts w:cs="Arial"/>
          <w:sz w:val="20"/>
        </w:rPr>
      </w:pPr>
      <w:r w:rsidRPr="00484DB6">
        <w:rPr>
          <w:rFonts w:cs="Arial"/>
          <w:sz w:val="20"/>
        </w:rPr>
        <w:t>Nella messa in opera delle strutture in COR-TEN sarà necessario evitare i ristagni d’acqua e adottare soluzioni progettuali ed esecutive atte a limitarlo.</w:t>
      </w:r>
    </w:p>
    <w:p w:rsidR="00F252A3" w:rsidRPr="00484DB6" w:rsidRDefault="00F252A3" w:rsidP="00F252A3">
      <w:pPr>
        <w:ind w:firstLine="284"/>
        <w:rPr>
          <w:rFonts w:cs="Arial"/>
          <w:sz w:val="20"/>
        </w:rPr>
      </w:pPr>
      <w:r w:rsidRPr="00484DB6">
        <w:rPr>
          <w:rFonts w:cs="Arial"/>
          <w:sz w:val="20"/>
        </w:rPr>
        <w:t xml:space="preserve">Al fine di evitare che la patina del COR-TEN vada a “colorare” superfici adiacenti di elementi complementari di diverso materiale sarà opportuno adottare soluzioni per minimizzare le macchie, </w:t>
      </w:r>
      <w:r w:rsidRPr="00484DB6">
        <w:rPr>
          <w:rFonts w:cs="Arial"/>
          <w:sz w:val="20"/>
        </w:rPr>
        <w:lastRenderedPageBreak/>
        <w:t>come ad esempio predisponendo delle canalette per la raccolta dell’acqua meteorica di dilavamento e/o l’utilizzo di volumi di raccolta disposti in modo da deviare il flusso d'acqua oltre le parti interessate.</w:t>
      </w:r>
    </w:p>
    <w:p w:rsidR="00F252A3" w:rsidRPr="00484DB6" w:rsidRDefault="00F252A3" w:rsidP="00F252A3">
      <w:pPr>
        <w:ind w:firstLine="284"/>
        <w:rPr>
          <w:rFonts w:cs="Arial"/>
          <w:sz w:val="20"/>
        </w:rPr>
      </w:pPr>
      <w:r w:rsidRPr="00484DB6">
        <w:rPr>
          <w:rFonts w:cs="Arial"/>
          <w:sz w:val="20"/>
        </w:rPr>
        <w:t>Si presterà particolare attenzione alla corrosione galvanica generata dall’accoppiamento con materiali più nobili come lo zinco.</w:t>
      </w:r>
    </w:p>
    <w:p w:rsidR="00F252A3" w:rsidRPr="00484DB6" w:rsidRDefault="00F252A3" w:rsidP="00F252A3">
      <w:pPr>
        <w:ind w:firstLine="284"/>
        <w:rPr>
          <w:rFonts w:cs="Arial"/>
          <w:sz w:val="20"/>
        </w:rPr>
      </w:pPr>
      <w:r w:rsidRPr="00484DB6">
        <w:rPr>
          <w:rFonts w:cs="Arial"/>
          <w:sz w:val="20"/>
        </w:rPr>
        <w:t xml:space="preserve">Andranno impiegati fissaggi meccanici in acciaio patinabile o in acciaio inox. </w:t>
      </w:r>
    </w:p>
    <w:p w:rsidR="00F252A3" w:rsidRPr="00484DB6" w:rsidRDefault="00F252A3" w:rsidP="00F252A3">
      <w:pPr>
        <w:ind w:firstLine="284"/>
        <w:rPr>
          <w:rFonts w:cs="Arial"/>
          <w:sz w:val="20"/>
        </w:rPr>
      </w:pPr>
      <w:r w:rsidRPr="00484DB6">
        <w:rPr>
          <w:rFonts w:cs="Arial"/>
          <w:sz w:val="20"/>
        </w:rPr>
        <w:t>Gli elementi di connessione come bulloni, viti, dadi, rondelle dovranno avere la stessa resistenza atmosferica o migliore del materiale base, onde evitare la formazione di celle galvaniche locali, con corrosione per contatto.</w:t>
      </w:r>
    </w:p>
    <w:p w:rsidR="00F252A3" w:rsidRPr="00484DB6" w:rsidRDefault="00F252A3" w:rsidP="00F252A3">
      <w:pPr>
        <w:ind w:firstLine="284"/>
        <w:rPr>
          <w:rFonts w:cs="Arial"/>
          <w:sz w:val="20"/>
        </w:rPr>
      </w:pPr>
      <w:r w:rsidRPr="00484DB6">
        <w:rPr>
          <w:rFonts w:cs="Arial"/>
          <w:sz w:val="20"/>
        </w:rPr>
        <w:t>La sigillatura delle giunzioni sarà necessaria per prevenire l’infiltrazione dell’acqua, soprattutto per costruzioni strutturalmente importanti.</w:t>
      </w:r>
    </w:p>
    <w:p w:rsidR="00F252A3" w:rsidRPr="00484DB6" w:rsidRDefault="00F252A3" w:rsidP="00F252A3">
      <w:pPr>
        <w:ind w:firstLine="284"/>
        <w:rPr>
          <w:rFonts w:cs="Arial"/>
          <w:sz w:val="20"/>
        </w:rPr>
      </w:pPr>
      <w:r w:rsidRPr="00484DB6">
        <w:rPr>
          <w:rFonts w:cs="Arial"/>
          <w:sz w:val="20"/>
        </w:rPr>
        <w:t>La piegatura del COR-TEN potrà essere effettuata anche a freddo fino a spessori di 12,5 millimetri purché si tengano presenti i minimi raggi di curvatura riportati nella seguente tabella:</w:t>
      </w:r>
    </w:p>
    <w:p w:rsidR="00F252A3" w:rsidRPr="00484DB6" w:rsidRDefault="00F252A3" w:rsidP="00F252A3">
      <w:pPr>
        <w:ind w:firstLine="284"/>
        <w:rPr>
          <w:rFonts w:cs="Arial"/>
          <w:sz w:val="20"/>
        </w:rPr>
      </w:pPr>
    </w:p>
    <w:tbl>
      <w:tblPr>
        <w:tblW w:w="0" w:type="auto"/>
        <w:tblInd w:w="65" w:type="dxa"/>
        <w:tblLayout w:type="fixed"/>
        <w:tblCellMar>
          <w:left w:w="65" w:type="dxa"/>
          <w:right w:w="65" w:type="dxa"/>
        </w:tblCellMar>
        <w:tblLook w:val="0000"/>
      </w:tblPr>
      <w:tblGrid>
        <w:gridCol w:w="2407"/>
        <w:gridCol w:w="2407"/>
        <w:gridCol w:w="2407"/>
        <w:gridCol w:w="2407"/>
      </w:tblGrid>
      <w:tr w:rsidR="00F252A3" w:rsidRPr="00484DB6" w:rsidTr="00B019FF">
        <w:trPr>
          <w:trHeight w:hRule="exact" w:val="340"/>
        </w:trPr>
        <w:tc>
          <w:tcPr>
            <w:tcW w:w="2407" w:type="dxa"/>
            <w:vMerge w:val="restart"/>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Spessore (mm)</w:t>
            </w:r>
          </w:p>
        </w:tc>
        <w:tc>
          <w:tcPr>
            <w:tcW w:w="7221" w:type="dxa"/>
            <w:gridSpan w:val="3"/>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Raggio minimo di piegatura (s = spessore)</w:t>
            </w:r>
          </w:p>
        </w:tc>
      </w:tr>
      <w:tr w:rsidR="00F252A3" w:rsidRPr="00484DB6" w:rsidTr="00B019FF">
        <w:trPr>
          <w:trHeight w:hRule="exact" w:val="340"/>
        </w:trPr>
        <w:tc>
          <w:tcPr>
            <w:tcW w:w="2407" w:type="dxa"/>
            <w:vMerge/>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rPr>
                <w:rFonts w:cs="Arial"/>
                <w:sz w:val="16"/>
              </w:rPr>
            </w:pP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TIPO A</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TIPO B</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TIPO C</w:t>
            </w:r>
          </w:p>
        </w:tc>
      </w:tr>
      <w:tr w:rsidR="00F252A3" w:rsidRPr="00484DB6" w:rsidTr="00B019FF">
        <w:trPr>
          <w:trHeight w:hRule="exact" w:val="340"/>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&lt;=1,5</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s</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w:t>
            </w:r>
          </w:p>
        </w:tc>
      </w:tr>
      <w:tr w:rsidR="00F252A3" w:rsidRPr="00484DB6" w:rsidTr="00B019FF">
        <w:trPr>
          <w:trHeight w:hRule="exact" w:val="340"/>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&gt;1,5 - 6</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2s</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2s</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3,5s</w:t>
            </w:r>
          </w:p>
        </w:tc>
      </w:tr>
      <w:tr w:rsidR="00F252A3" w:rsidRPr="00484DB6" w:rsidTr="00B019FF">
        <w:trPr>
          <w:trHeight w:hRule="exact" w:val="340"/>
        </w:trPr>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&gt;6 - 12,5</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3s</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3s</w:t>
            </w:r>
          </w:p>
        </w:tc>
        <w:tc>
          <w:tcPr>
            <w:tcW w:w="2407" w:type="dxa"/>
            <w:tcBorders>
              <w:top w:val="single" w:sz="2" w:space="0" w:color="auto"/>
              <w:left w:val="single" w:sz="2" w:space="0" w:color="auto"/>
              <w:bottom w:val="single" w:sz="2" w:space="0" w:color="auto"/>
              <w:right w:val="single" w:sz="2" w:space="0" w:color="auto"/>
            </w:tcBorders>
            <w:tcMar>
              <w:top w:w="0" w:type="dxa"/>
              <w:left w:w="65" w:type="dxa"/>
              <w:bottom w:w="0" w:type="dxa"/>
              <w:right w:w="65" w:type="dxa"/>
            </w:tcMar>
            <w:vAlign w:val="center"/>
          </w:tcPr>
          <w:p w:rsidR="00F252A3" w:rsidRPr="00484DB6" w:rsidRDefault="00F252A3" w:rsidP="00B019FF">
            <w:pPr>
              <w:jc w:val="center"/>
              <w:rPr>
                <w:rFonts w:cs="Arial"/>
                <w:sz w:val="16"/>
              </w:rPr>
            </w:pPr>
            <w:r w:rsidRPr="00484DB6">
              <w:rPr>
                <w:rFonts w:cs="Arial"/>
                <w:sz w:val="16"/>
              </w:rPr>
              <w:t>3,5s</w:t>
            </w:r>
          </w:p>
        </w:tc>
      </w:tr>
    </w:tbl>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Per spessori superiori, o per piegature più severe, è prescritta la piegatura a caldo.</w:t>
      </w:r>
    </w:p>
    <w:p w:rsidR="00F252A3" w:rsidRPr="00484DB6" w:rsidRDefault="00F252A3" w:rsidP="00F252A3">
      <w:pPr>
        <w:ind w:firstLine="284"/>
        <w:rPr>
          <w:rFonts w:cs="Arial"/>
          <w:sz w:val="20"/>
        </w:rPr>
      </w:pPr>
    </w:p>
    <w:p w:rsidR="00F252A3" w:rsidRPr="00484DB6" w:rsidRDefault="00F252A3" w:rsidP="00F252A3">
      <w:pPr>
        <w:ind w:firstLine="284"/>
        <w:rPr>
          <w:rFonts w:cs="Arial"/>
          <w:sz w:val="20"/>
        </w:rPr>
      </w:pPr>
      <w:r w:rsidRPr="00484DB6">
        <w:rPr>
          <w:rFonts w:cs="Arial"/>
          <w:sz w:val="20"/>
        </w:rPr>
        <w:t>L’acciaio COR-TEN potrà essere saldato in tutti gli spessori e con tutti i più comuni metodi di saldatura. Se utilizzato allo stato “nudo” per impieghi architettonici sarà necessario che la saldatura sia effettuata in più di due passate, ed è prescritto che, per le ultime due, vengano utilizzati elettrodi al 2% o al 3% di Nichel in modo da ottenere cordoni di saldatura con una colorazione simile a quella del COR-TEN.</w:t>
      </w:r>
    </w:p>
    <w:p w:rsidR="00F252A3" w:rsidRPr="00484DB6" w:rsidRDefault="00F252A3" w:rsidP="00F252A3">
      <w:pPr>
        <w:rPr>
          <w:rFonts w:cs="Arial"/>
        </w:rPr>
      </w:pPr>
    </w:p>
    <w:p w:rsidR="00F252A3" w:rsidRPr="00484DB6" w:rsidRDefault="00F252A3" w:rsidP="00F252A3">
      <w:pPr>
        <w:jc w:val="center"/>
        <w:rPr>
          <w:rFonts w:cs="Arial"/>
          <w:sz w:val="20"/>
        </w:rPr>
      </w:pPr>
      <w:r w:rsidRPr="00484DB6">
        <w:rPr>
          <w:rFonts w:cs="Arial"/>
          <w:b/>
          <w:sz w:val="20"/>
        </w:rPr>
        <w:t>Art. 4.8</w:t>
      </w:r>
    </w:p>
    <w:p w:rsidR="00F252A3" w:rsidRPr="00484DB6" w:rsidRDefault="00F252A3" w:rsidP="00F252A3">
      <w:pPr>
        <w:jc w:val="center"/>
        <w:rPr>
          <w:rFonts w:cs="Arial"/>
          <w:sz w:val="20"/>
        </w:rPr>
      </w:pPr>
      <w:r w:rsidRPr="00484DB6">
        <w:rPr>
          <w:rFonts w:cs="Arial"/>
          <w:b/>
          <w:sz w:val="20"/>
        </w:rPr>
        <w:t>OPERE DI IMPERMEABILIZZAZIONE</w:t>
      </w:r>
    </w:p>
    <w:p w:rsidR="00F252A3" w:rsidRPr="00484DB6" w:rsidRDefault="00F252A3" w:rsidP="00F252A3">
      <w:pPr>
        <w:rPr>
          <w:rFonts w:cs="Arial"/>
          <w:sz w:val="20"/>
        </w:rPr>
      </w:pPr>
    </w:p>
    <w:p w:rsidR="00F252A3" w:rsidRPr="00484DB6" w:rsidRDefault="00F252A3" w:rsidP="00F252A3">
      <w:pPr>
        <w:ind w:right="1" w:firstLine="283"/>
        <w:rPr>
          <w:rFonts w:cs="Arial"/>
          <w:sz w:val="20"/>
        </w:rPr>
      </w:pPr>
      <w:r w:rsidRPr="00484DB6">
        <w:rPr>
          <w:rFonts w:cs="Arial"/>
          <w:sz w:val="20"/>
        </w:rPr>
        <w:t>Si intendono per opere di impermeabilizzazione quelle che servono a limitare (o ridurre entro valori prefissati) il passaggio di acqua (sotto forma liquida o gassosa) attraverso una parte dell'edificio (pareti, fondazioni, pavimenti controterra, ecc.) o comunque lo scambio igrometrico tra ambienti.</w:t>
      </w:r>
    </w:p>
    <w:p w:rsidR="00F252A3" w:rsidRPr="00484DB6" w:rsidRDefault="00F252A3" w:rsidP="00F252A3">
      <w:pPr>
        <w:ind w:right="1" w:firstLine="283"/>
        <w:rPr>
          <w:rFonts w:cs="Arial"/>
          <w:sz w:val="20"/>
        </w:rPr>
      </w:pPr>
      <w:r w:rsidRPr="00484DB6">
        <w:rPr>
          <w:rFonts w:cs="Arial"/>
          <w:sz w:val="20"/>
        </w:rPr>
        <w:t>Esse si dividono in:</w:t>
      </w:r>
    </w:p>
    <w:p w:rsidR="00F252A3" w:rsidRPr="00484DB6" w:rsidRDefault="00F252A3" w:rsidP="00F252A3">
      <w:pPr>
        <w:ind w:left="568" w:hanging="284"/>
        <w:rPr>
          <w:rFonts w:cs="Arial"/>
          <w:sz w:val="20"/>
        </w:rPr>
      </w:pPr>
      <w:r w:rsidRPr="00484DB6">
        <w:rPr>
          <w:rFonts w:cs="Arial"/>
          <w:sz w:val="20"/>
        </w:rPr>
        <w:t>-</w:t>
      </w:r>
      <w:r w:rsidRPr="00484DB6">
        <w:rPr>
          <w:rFonts w:cs="Arial"/>
          <w:sz w:val="20"/>
        </w:rPr>
        <w:tab/>
        <w:t>impermeabilizzazioni costituite da strati continui (o discontinui) di prodotti;</w:t>
      </w:r>
    </w:p>
    <w:p w:rsidR="00F252A3" w:rsidRPr="00484DB6" w:rsidRDefault="00F252A3" w:rsidP="00F252A3">
      <w:pPr>
        <w:ind w:left="568" w:hanging="284"/>
        <w:rPr>
          <w:rFonts w:cs="Arial"/>
          <w:sz w:val="20"/>
        </w:rPr>
      </w:pPr>
      <w:r w:rsidRPr="00484DB6">
        <w:rPr>
          <w:rFonts w:cs="Arial"/>
          <w:sz w:val="20"/>
        </w:rPr>
        <w:t>-</w:t>
      </w:r>
      <w:r w:rsidRPr="00484DB6">
        <w:rPr>
          <w:rFonts w:cs="Arial"/>
          <w:sz w:val="20"/>
        </w:rPr>
        <w:tab/>
        <w:t>impermeabilizzazioni realizzate mediante la formazione di intercapedini ventilate.</w:t>
      </w:r>
    </w:p>
    <w:p w:rsidR="00F252A3" w:rsidRPr="00484DB6" w:rsidRDefault="00F252A3" w:rsidP="00F252A3">
      <w:pPr>
        <w:ind w:left="566" w:right="1" w:hanging="283"/>
        <w:rPr>
          <w:rFonts w:cs="Arial"/>
          <w:sz w:val="20"/>
        </w:rPr>
      </w:pPr>
    </w:p>
    <w:p w:rsidR="00F252A3" w:rsidRPr="00484DB6" w:rsidRDefault="00F252A3" w:rsidP="00F252A3">
      <w:pPr>
        <w:ind w:right="1" w:firstLine="283"/>
        <w:rPr>
          <w:rFonts w:cs="Arial"/>
          <w:sz w:val="20"/>
        </w:rPr>
      </w:pPr>
      <w:r w:rsidRPr="00484DB6">
        <w:rPr>
          <w:rFonts w:cs="Arial"/>
          <w:sz w:val="20"/>
        </w:rPr>
        <w:t>Per la realizzazione delle diverse categorie si utilizzeranno i materiali e le modalità indicate negli altri documenti progettuali; ove non siano specificate in dettaglio nel progetto od a suo completamento si rispetteranno le prescrizioni seguenti:</w:t>
      </w:r>
    </w:p>
    <w:p w:rsidR="00F252A3" w:rsidRPr="00484DB6" w:rsidRDefault="00F252A3" w:rsidP="00F252A3">
      <w:pPr>
        <w:ind w:left="850" w:right="1" w:hanging="283"/>
        <w:rPr>
          <w:rFonts w:cs="Arial"/>
          <w:sz w:val="20"/>
        </w:rPr>
      </w:pPr>
      <w:r w:rsidRPr="00484DB6">
        <w:rPr>
          <w:rFonts w:cs="Arial"/>
          <w:sz w:val="20"/>
        </w:rPr>
        <w:t>a)</w:t>
      </w:r>
      <w:r w:rsidRPr="00484DB6">
        <w:rPr>
          <w:rFonts w:cs="Arial"/>
          <w:sz w:val="20"/>
        </w:rPr>
        <w:tab/>
        <w:t xml:space="preserve">per le soluzioni che adottino </w:t>
      </w:r>
      <w:r w:rsidRPr="00484DB6">
        <w:rPr>
          <w:rFonts w:cs="Arial"/>
          <w:b/>
          <w:sz w:val="20"/>
        </w:rPr>
        <w:t>membrane</w:t>
      </w:r>
      <w:r w:rsidRPr="00484DB6">
        <w:rPr>
          <w:rFonts w:cs="Arial"/>
          <w:sz w:val="20"/>
        </w:rPr>
        <w:t xml:space="preserve"> in foglio o rotolo si sceglieranno i prodotti che per resistenza meccanica a trazione, agli urti ed alla lacerazione meglio si prestano a sopportare l'azione del materiale di reinterro (che comunque dovrà essere ricollocato con le dovute cautele) le resistenze predette potranno essere raggiunte mediante strati complementari e/o di protezione ed essere completate da soluzioni adeguate per ridurre entro limiti accettabili, le azioni di insetti, muffe, radici e sostanze chimiche presenti nel terreno.</w:t>
      </w:r>
    </w:p>
    <w:p w:rsidR="00F252A3" w:rsidRPr="00484DB6" w:rsidRDefault="00F252A3" w:rsidP="00F252A3">
      <w:pPr>
        <w:ind w:left="850" w:right="1" w:hanging="283"/>
        <w:rPr>
          <w:rFonts w:cs="Arial"/>
          <w:sz w:val="20"/>
        </w:rPr>
      </w:pPr>
      <w:r w:rsidRPr="00484DB6">
        <w:rPr>
          <w:rFonts w:cs="Arial"/>
          <w:sz w:val="20"/>
        </w:rPr>
        <w:tab/>
        <w:t>Inoltre durante la realizzazione si curerà che i risvolti, punti di passaggio di tubazioni, ecc. siano accuratamente eseguiti onde evitare sollecitazioni localizzate o provocare distacchi e punti di infiltrazione;</w:t>
      </w:r>
    </w:p>
    <w:p w:rsidR="00F252A3" w:rsidRPr="00484DB6" w:rsidRDefault="00F252A3" w:rsidP="00F252A3">
      <w:pPr>
        <w:ind w:left="850" w:right="1" w:hanging="283"/>
        <w:rPr>
          <w:rFonts w:cs="Arial"/>
          <w:sz w:val="20"/>
        </w:rPr>
      </w:pPr>
      <w:r w:rsidRPr="00484DB6">
        <w:rPr>
          <w:rFonts w:cs="Arial"/>
          <w:sz w:val="20"/>
        </w:rPr>
        <w:t>b)</w:t>
      </w:r>
      <w:r w:rsidRPr="00484DB6">
        <w:rPr>
          <w:rFonts w:cs="Arial"/>
          <w:sz w:val="20"/>
        </w:rPr>
        <w:tab/>
        <w:t>per le soluzioni che adottano</w:t>
      </w:r>
      <w:r w:rsidRPr="00484DB6">
        <w:rPr>
          <w:rFonts w:cs="Arial"/>
          <w:b/>
          <w:sz w:val="20"/>
        </w:rPr>
        <w:t xml:space="preserve"> prodotti rigidi</w:t>
      </w:r>
      <w:r w:rsidRPr="00484DB6">
        <w:rPr>
          <w:rFonts w:cs="Arial"/>
          <w:sz w:val="20"/>
        </w:rPr>
        <w:t xml:space="preserve"> in lastre, fogli sagomati e similari (con la formazione di interspazi per la circolazione di aria) si opererà, come indicato nel comma a) circa la resistenza meccanica. Per le soluzioni ai bordi e nei punti di attraversamento di tubi, ecc. si eseguirà con cura la soluzione adottata in modo da non costituire punti di infiltrazione e di debole resistenza meccanica;</w:t>
      </w:r>
    </w:p>
    <w:p w:rsidR="00F252A3" w:rsidRPr="00484DB6" w:rsidRDefault="00F252A3" w:rsidP="00F252A3">
      <w:pPr>
        <w:ind w:left="850" w:right="1" w:hanging="283"/>
        <w:rPr>
          <w:rFonts w:cs="Arial"/>
          <w:sz w:val="20"/>
        </w:rPr>
      </w:pPr>
      <w:r w:rsidRPr="00484DB6">
        <w:rPr>
          <w:rFonts w:cs="Arial"/>
          <w:sz w:val="20"/>
        </w:rPr>
        <w:t>c)</w:t>
      </w:r>
      <w:r w:rsidRPr="00484DB6">
        <w:rPr>
          <w:rFonts w:cs="Arial"/>
          <w:sz w:val="20"/>
        </w:rPr>
        <w:tab/>
        <w:t xml:space="preserve">per le soluzioni che adottano </w:t>
      </w:r>
      <w:r w:rsidRPr="00484DB6">
        <w:rPr>
          <w:rFonts w:cs="Arial"/>
          <w:b/>
          <w:sz w:val="20"/>
        </w:rPr>
        <w:t>intercapedini</w:t>
      </w:r>
      <w:r w:rsidRPr="00484DB6">
        <w:rPr>
          <w:rFonts w:cs="Arial"/>
          <w:sz w:val="20"/>
        </w:rPr>
        <w:t xml:space="preserve"> di aria si curerà la realizzazione della parete più esterna (a contatto con il terreno) in modo da avere continuità ed adeguata resistenza meccanica. Al fondo dell'intercapedine si formeranno opportuni drenaggi dell'acqua che </w:t>
      </w:r>
      <w:r w:rsidRPr="00484DB6">
        <w:rPr>
          <w:rFonts w:cs="Arial"/>
          <w:sz w:val="20"/>
        </w:rPr>
        <w:lastRenderedPageBreak/>
        <w:t>limitino il fenomeno di risalita capillare nella parete protetta;</w:t>
      </w:r>
    </w:p>
    <w:p w:rsidR="00F252A3" w:rsidRPr="00484DB6" w:rsidRDefault="00F252A3" w:rsidP="00F252A3">
      <w:pPr>
        <w:ind w:left="850" w:right="1" w:hanging="283"/>
        <w:rPr>
          <w:rFonts w:cs="Arial"/>
          <w:sz w:val="20"/>
        </w:rPr>
      </w:pPr>
      <w:r w:rsidRPr="00484DB6">
        <w:rPr>
          <w:rFonts w:cs="Arial"/>
          <w:sz w:val="20"/>
        </w:rPr>
        <w:t>d)</w:t>
      </w:r>
      <w:r w:rsidRPr="00484DB6">
        <w:rPr>
          <w:rFonts w:cs="Arial"/>
          <w:sz w:val="20"/>
        </w:rPr>
        <w:tab/>
        <w:t xml:space="preserve">per le soluzioni che adottano </w:t>
      </w:r>
      <w:r w:rsidRPr="00484DB6">
        <w:rPr>
          <w:rFonts w:cs="Arial"/>
          <w:b/>
          <w:sz w:val="20"/>
        </w:rPr>
        <w:t xml:space="preserve">prodotti applicati fluidi </w:t>
      </w:r>
      <w:r w:rsidRPr="00484DB6">
        <w:rPr>
          <w:rFonts w:cs="Arial"/>
          <w:sz w:val="20"/>
        </w:rPr>
        <w:t>od in pasta si sceglieranno prodotti che possiedano caratteristiche di impermeabilità ed anche di resistenza meccanica (urti, abrasioni, lacerazioni). Le resistenze predette potranno essere raggiunte mediante strati complementari e/o di protezione ed essere completate da soluzioni adeguate per ottenere valori accettabili di resistenza ad agenti biologici quali radici, insetti, muffe, ecc. nonché di resistenza alle possibili sostanze chimiche presenti nel terreno.</w:t>
      </w:r>
    </w:p>
    <w:p w:rsidR="00F252A3" w:rsidRPr="00484DB6" w:rsidRDefault="00F252A3" w:rsidP="00F252A3">
      <w:pPr>
        <w:ind w:left="850" w:right="1" w:hanging="283"/>
        <w:rPr>
          <w:rFonts w:cs="Arial"/>
          <w:sz w:val="20"/>
        </w:rPr>
      </w:pPr>
      <w:r w:rsidRPr="00484DB6">
        <w:rPr>
          <w:rFonts w:cs="Arial"/>
          <w:sz w:val="20"/>
        </w:rPr>
        <w:tab/>
        <w:t>Durante l'esecuzione si curerà la corretta esecuzione di risvolti e dei bordi, nonché dei punti particolari quali passaggi di tubazioni, ecc. in modo da evitare possibili zone di infiltrazione e/o distacco. La preparazione del fondo, l'eventuale preparazione del prodotto (miscelazioni, ecc.), le modalità di applicazione, ivi comprese le condizioni ambientali (temperatura ed umidità), e quelle di sicurezza saranno quelle indicate dal Produttore nella sua documentazione tecnica ed accettate dalla Direzione dei Lavori.</w:t>
      </w:r>
    </w:p>
    <w:p w:rsidR="00F252A3" w:rsidRPr="00484DB6" w:rsidRDefault="00F252A3" w:rsidP="00F252A3">
      <w:pPr>
        <w:ind w:firstLine="284"/>
        <w:rPr>
          <w:rFonts w:cs="Arial"/>
          <w:sz w:val="20"/>
        </w:rPr>
      </w:pPr>
      <w:r w:rsidRPr="00484DB6">
        <w:rPr>
          <w:rFonts w:cs="Arial"/>
          <w:sz w:val="20"/>
        </w:rPr>
        <w:t>Per le impermeabilizzazioni di elementi verticali (con risalita d'acqua) si eseguiranno strati impermeabili (o drenanti) che impediscano o riducano al minimo il passaggio di acqua per capillarità, ecc. Gli strati si eseguiranno con fogli, prodotti spalmati, malte speciali, ecc., curandone la continuità e la collocazione corretta nell'elemento. L'utilizzo di estrattori di umidità per murature, malte speciali ed altri prodotti similari, sarà ammesso solo con prodotti di provata efficacia ed osservando scrupolosamente le indicazioni del progetto e del produttore per la loro realizzazione.</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 xml:space="preserve">In alternativa all'utilizzo di membrane impermeabili bituminose, qualora progettualmente previsto o espressamente indicato dalla Direzione Lavori, sarà possibile utilizzare prodotti specifici per l'impermeabilizzazione posti in opera mediante stesura a spatola o a spruzzo con intonacatrice, costituiti da </w:t>
      </w:r>
      <w:r w:rsidRPr="00484DB6">
        <w:rPr>
          <w:rFonts w:ascii="Arial" w:hAnsi="Arial" w:cs="Arial"/>
          <w:b/>
          <w:sz w:val="20"/>
        </w:rPr>
        <w:t>malta bicomponente elastica a base cementizia</w:t>
      </w:r>
      <w:r w:rsidRPr="00484DB6">
        <w:rPr>
          <w:rFonts w:ascii="Arial" w:hAnsi="Arial" w:cs="Arial"/>
          <w:sz w:val="20"/>
        </w:rPr>
        <w:t>, inerti selezionati a grana fine, fibre sintetiche e speciali resine acriliche in dispersione acquosa.</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 xml:space="preserve">L’appaltatore avrà cura di osservare scrupolosamente le prescrizioni indicate dal produttore su scheda tecnica relativamente a modalità di applicazione, conservazione, ecc.  </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Qualora sul sottofondo cementizio si preveda la formazione di microfessurazioni da assestamento si dovrà interporre, tra il primo ed il secondo strato, una rete in fibra di vetro alcali resistente di maglia idonea.</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Allo stato indurito il prodotto dovrà mantenersi stabilmente elastico in tutte le condizioni ambientali ed essere totalmente impermeabile all’acqua fino alla pressione positiva di 1,5 atmosfere e all’aggressione chimica di sali disgelanti, solfati, cloruri ed anidride carbonica.</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L’adesione del prodotto, inoltre, dovrà essere garantita dal produttore su tutte le superfici in calcestruzzo, muratura e ceramica purché solide e pulite.</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Le superfici da trattare quindi, dovranno essere perfettamente pulite, prive di lattime di cemento, parti friabili o tracce di polvere, grassi e oli disarmanti. Qualora le strutture da impermeabilizzare e proteggere fossero degradate, bisognerà procedere preventivamente alla rimozione delle parti inidonee mediante demolizione manuale o meccanica e ripristinarne la continuità con idoneo massetto cementizio sigillante.</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In prossimità dei giunti di dilatazione e del raccordo tra le superfici orizzontali e verticali dovrà essere impiegato un apposito nastro in tessuto sintetico gommato o in cloruro di polivinile saldabile a caldo.</w:t>
      </w:r>
    </w:p>
    <w:p w:rsidR="00F252A3" w:rsidRPr="00484DB6" w:rsidRDefault="00F252A3" w:rsidP="00F252A3">
      <w:pPr>
        <w:pStyle w:val="Nessunaspaziatura"/>
        <w:widowControl/>
        <w:ind w:firstLine="284"/>
        <w:jc w:val="both"/>
        <w:rPr>
          <w:rFonts w:ascii="Arial" w:hAnsi="Arial" w:cs="Arial"/>
          <w:sz w:val="20"/>
        </w:rPr>
      </w:pPr>
      <w:r w:rsidRPr="00484DB6">
        <w:rPr>
          <w:rFonts w:ascii="Arial" w:hAnsi="Arial" w:cs="Arial"/>
          <w:sz w:val="20"/>
        </w:rPr>
        <w:t>Il prodotto impermeabilizzante applicato ed indurito, dovrà infine consentire l'eventuale successiva posa di rivestimenti ceramici o di altro tipo.</w:t>
      </w:r>
    </w:p>
    <w:p w:rsidR="00F252A3" w:rsidRPr="00484DB6" w:rsidRDefault="00F252A3" w:rsidP="00F252A3">
      <w:pPr>
        <w:ind w:right="1" w:firstLine="283"/>
        <w:rPr>
          <w:rFonts w:cs="Arial"/>
          <w:sz w:val="20"/>
        </w:rPr>
      </w:pPr>
    </w:p>
    <w:p w:rsidR="00F252A3" w:rsidRPr="00484DB6" w:rsidRDefault="00F252A3" w:rsidP="00F252A3">
      <w:pPr>
        <w:ind w:right="1" w:firstLine="283"/>
        <w:rPr>
          <w:rFonts w:cs="Arial"/>
          <w:sz w:val="20"/>
        </w:rPr>
      </w:pPr>
      <w:r w:rsidRPr="00484DB6">
        <w:rPr>
          <w:rFonts w:cs="Arial"/>
          <w:sz w:val="20"/>
        </w:rPr>
        <w:t>La Direzione dei Lavori per la realizzazione delle opere di impermeabilizzazione opererà come segue:</w:t>
      </w:r>
    </w:p>
    <w:p w:rsidR="00F252A3" w:rsidRPr="00484DB6" w:rsidRDefault="00F252A3" w:rsidP="00F252A3">
      <w:pPr>
        <w:ind w:left="566" w:right="1" w:hanging="283"/>
        <w:rPr>
          <w:rFonts w:cs="Arial"/>
          <w:sz w:val="20"/>
        </w:rPr>
      </w:pPr>
      <w:r w:rsidRPr="00484DB6">
        <w:rPr>
          <w:rFonts w:cs="Arial"/>
          <w:sz w:val="20"/>
        </w:rPr>
        <w:t>a)</w:t>
      </w:r>
      <w:r w:rsidRPr="00484DB6">
        <w:rPr>
          <w:rFonts w:cs="Arial"/>
          <w:sz w:val="20"/>
        </w:rPr>
        <w:tab/>
        <w:t>Nel corso dell'esecuzione dei lavori, con riferimento ai tempi ed alle procedure, verificherà via via che i materiali impiegati e le tecniche di posa siano effettivamente quelle prescritte ed inoltre, almeno per gli strati più significativi, verificherà che il risultato finale sia coerente con le prescrizioni di progetto e comunque con la funzione attribuita all'elemento o strato considerato.</w:t>
      </w:r>
    </w:p>
    <w:p w:rsidR="00F252A3" w:rsidRPr="00484DB6" w:rsidRDefault="00F252A3" w:rsidP="00F252A3">
      <w:pPr>
        <w:ind w:left="566" w:right="1" w:hanging="283"/>
        <w:rPr>
          <w:rFonts w:cs="Arial"/>
          <w:sz w:val="20"/>
        </w:rPr>
      </w:pPr>
      <w:r w:rsidRPr="00484DB6">
        <w:rPr>
          <w:rFonts w:cs="Arial"/>
          <w:sz w:val="20"/>
        </w:rPr>
        <w:tab/>
        <w:t>In particolare verificherà i collegamenti tra gli strati, la realizzazione di giunti/sovrapposizioni dei singoli prodotti costituenti uno strato, l'esecuzione accurata dei bordi e dei punti particolari ove sono richieste lavorazioni in sito. Per quanto applicabili verificherà con semplici metodi da cantiere le resistenze meccaniche (punzonamenti, resistenza a flessione, ecc.) la impermeabilità dello strato di tenuta all'acqua, le continuità (o discontinuità) degli strati, ecc.</w:t>
      </w:r>
    </w:p>
    <w:p w:rsidR="00F252A3" w:rsidRPr="00484DB6" w:rsidRDefault="00F252A3" w:rsidP="00F252A3">
      <w:pPr>
        <w:ind w:left="566" w:right="1" w:hanging="283"/>
        <w:rPr>
          <w:rFonts w:cs="Arial"/>
          <w:sz w:val="20"/>
        </w:rPr>
      </w:pPr>
      <w:r w:rsidRPr="00484DB6">
        <w:rPr>
          <w:rFonts w:cs="Arial"/>
          <w:sz w:val="20"/>
        </w:rPr>
        <w:t>b)</w:t>
      </w:r>
      <w:r w:rsidRPr="00484DB6">
        <w:rPr>
          <w:rFonts w:cs="Arial"/>
          <w:sz w:val="20"/>
        </w:rPr>
        <w:tab/>
        <w:t>A conclusione dell'opera eseguirà prove (anche solo localizzate) per verificare le resistenze ad azioni meccaniche localizzate, la interconnessione e compatibilità con altre parti dell'edificio e con eventuali opere di completamento.</w:t>
      </w:r>
    </w:p>
    <w:p w:rsidR="00F252A3" w:rsidRPr="00484DB6" w:rsidRDefault="00F252A3" w:rsidP="00F252A3">
      <w:pPr>
        <w:ind w:left="566" w:right="1" w:hanging="283"/>
        <w:rPr>
          <w:rFonts w:cs="Arial"/>
          <w:sz w:val="20"/>
        </w:rPr>
      </w:pPr>
      <w:r w:rsidRPr="00484DB6">
        <w:rPr>
          <w:rFonts w:cs="Arial"/>
          <w:sz w:val="20"/>
        </w:rPr>
        <w:tab/>
        <w:t xml:space="preserve">Avrà cura di far aggiornare e raccogliere i disegni costruttivi unitamente alla descrizione e/o </w:t>
      </w:r>
      <w:r w:rsidRPr="00484DB6">
        <w:rPr>
          <w:rFonts w:cs="Arial"/>
          <w:sz w:val="20"/>
        </w:rPr>
        <w:lastRenderedPageBreak/>
        <w:t>schede tecniche dei prodotti impiegati (specialmente quelli non visibili ad opera ultimata) e le prescrizioni attinenti la successiva manutenzione.</w:t>
      </w:r>
    </w:p>
    <w:p w:rsidR="007F3291" w:rsidRDefault="007F3291" w:rsidP="00F252A3">
      <w:pPr>
        <w:jc w:val="center"/>
        <w:rPr>
          <w:rFonts w:cs="Arial"/>
          <w:vanish/>
          <w:sz w:val="14"/>
        </w:rPr>
      </w:pPr>
    </w:p>
    <w:p w:rsidR="00F252A3" w:rsidRPr="00484DB6" w:rsidRDefault="00F252A3" w:rsidP="00F252A3">
      <w:pPr>
        <w:jc w:val="center"/>
        <w:rPr>
          <w:rFonts w:cs="Arial"/>
          <w:sz w:val="20"/>
        </w:rPr>
      </w:pPr>
      <w:r w:rsidRPr="00484DB6">
        <w:rPr>
          <w:rFonts w:cs="Arial"/>
          <w:b/>
          <w:sz w:val="20"/>
        </w:rPr>
        <w:t>Art. 4.9</w:t>
      </w:r>
    </w:p>
    <w:p w:rsidR="00F252A3" w:rsidRPr="00484DB6" w:rsidRDefault="00F252A3" w:rsidP="00F252A3">
      <w:pPr>
        <w:jc w:val="center"/>
        <w:rPr>
          <w:rFonts w:cs="Arial"/>
          <w:b/>
          <w:sz w:val="20"/>
        </w:rPr>
      </w:pPr>
      <w:r w:rsidRPr="00484DB6">
        <w:rPr>
          <w:rFonts w:cs="Arial"/>
          <w:b/>
          <w:sz w:val="20"/>
        </w:rPr>
        <w:t>OPERE DA CARPENTIERE</w:t>
      </w:r>
    </w:p>
    <w:p w:rsidR="00F252A3" w:rsidRPr="00484DB6" w:rsidRDefault="00F252A3" w:rsidP="00F252A3">
      <w:pPr>
        <w:ind w:firstLine="284"/>
        <w:rPr>
          <w:rFonts w:cs="Arial"/>
          <w:sz w:val="20"/>
        </w:rPr>
      </w:pPr>
    </w:p>
    <w:p w:rsidR="00F252A3" w:rsidRPr="00484DB6" w:rsidRDefault="00F252A3" w:rsidP="00F252A3">
      <w:pPr>
        <w:widowControl/>
        <w:ind w:firstLine="284"/>
        <w:rPr>
          <w:rFonts w:cs="Arial"/>
          <w:sz w:val="20"/>
        </w:rPr>
      </w:pPr>
      <w:r w:rsidRPr="00484DB6">
        <w:rPr>
          <w:rFonts w:cs="Arial"/>
          <w:sz w:val="20"/>
        </w:rPr>
        <w:t xml:space="preserve">Le opere da carpentiere riguardano generalmente la realizzazione di casseforme, ossia un insieme di elementi piani, curvi e di dispositivi per l’assemblaggio e la movimentazione che devono svolgere la funzione di contenimento dell’armatura metallica e del getto di conglomerato cementizio durante il periodo della presa. In particolare, si definisce casseratura, o più semplicemente casseri, l'insieme degli elementi (perlopiù in legno) che contengono il getto di conglomerato cementizio e che riproducono fedelmente la forma della struttura da realizzare, mentre si definisce banchinaggio l'assemblaggio di tutti gli elementi di sostegno. </w:t>
      </w:r>
    </w:p>
    <w:p w:rsidR="00F252A3" w:rsidRPr="00484DB6" w:rsidRDefault="00F252A3" w:rsidP="00F252A3">
      <w:pPr>
        <w:widowControl/>
        <w:ind w:firstLine="284"/>
        <w:rPr>
          <w:rFonts w:cs="Arial"/>
          <w:sz w:val="20"/>
        </w:rPr>
      </w:pPr>
      <w:r w:rsidRPr="00484DB6">
        <w:rPr>
          <w:rFonts w:cs="Arial"/>
          <w:sz w:val="20"/>
        </w:rPr>
        <w:t xml:space="preserve">La cassaforma è quindi, un sistema atto a realizzare un manufatto in calcestruzzo con determinate caratteristiche di forma e qualità. La qualità del manufatto dipende anche dalle deformazioni e dalla finitura superficiale. (Vedi il capitolo </w:t>
      </w:r>
      <w:hyperlink r:id="rId14" w:history="1">
        <w:r w:rsidRPr="00484DB6">
          <w:rPr>
            <w:rFonts w:cs="Arial"/>
            <w:sz w:val="20"/>
            <w:u w:val="single"/>
          </w:rPr>
          <w:t>Qualità dei materiali e dei componenti</w:t>
        </w:r>
      </w:hyperlink>
      <w:r w:rsidRPr="00484DB6">
        <w:rPr>
          <w:rFonts w:cs="Arial"/>
          <w:sz w:val="20"/>
        </w:rPr>
        <w:t>)</w:t>
      </w:r>
    </w:p>
    <w:p w:rsidR="00F252A3" w:rsidRPr="00484DB6" w:rsidRDefault="00F252A3" w:rsidP="00F252A3">
      <w:pPr>
        <w:widowControl/>
        <w:ind w:firstLine="284"/>
        <w:rPr>
          <w:rFonts w:cs="Arial"/>
          <w:sz w:val="20"/>
        </w:rPr>
      </w:pPr>
      <w:r w:rsidRPr="00484DB6">
        <w:rPr>
          <w:rFonts w:cs="Arial"/>
          <w:sz w:val="20"/>
        </w:rPr>
        <w:t>Al fine di conseguire le caratteristiche richieste, le prestazioni delle casseforme sono influenzate da:</w:t>
      </w:r>
    </w:p>
    <w:p w:rsidR="00F252A3" w:rsidRPr="00484DB6" w:rsidRDefault="00F252A3" w:rsidP="00F252A3">
      <w:pPr>
        <w:widowControl/>
        <w:ind w:firstLine="284"/>
        <w:rPr>
          <w:rFonts w:cs="Arial"/>
          <w:sz w:val="20"/>
        </w:rPr>
      </w:pPr>
      <w:r w:rsidRPr="00484DB6">
        <w:rPr>
          <w:rFonts w:cs="Arial"/>
          <w:sz w:val="20"/>
        </w:rPr>
        <w:t>- le specifiche di progetto del manufatto;</w:t>
      </w:r>
    </w:p>
    <w:p w:rsidR="00F252A3" w:rsidRPr="00484DB6" w:rsidRDefault="00F252A3" w:rsidP="00F252A3">
      <w:pPr>
        <w:widowControl/>
        <w:ind w:firstLine="284"/>
        <w:rPr>
          <w:rFonts w:cs="Arial"/>
          <w:sz w:val="20"/>
        </w:rPr>
      </w:pPr>
      <w:r w:rsidRPr="00484DB6">
        <w:rPr>
          <w:rFonts w:cs="Arial"/>
          <w:sz w:val="20"/>
        </w:rPr>
        <w:t>- le modalità di costruzione del manufatto;</w:t>
      </w:r>
    </w:p>
    <w:p w:rsidR="00F252A3" w:rsidRPr="00484DB6" w:rsidRDefault="00F252A3" w:rsidP="00F252A3">
      <w:pPr>
        <w:widowControl/>
        <w:ind w:firstLine="284"/>
        <w:rPr>
          <w:rFonts w:cs="Arial"/>
          <w:sz w:val="20"/>
        </w:rPr>
      </w:pPr>
      <w:r w:rsidRPr="00484DB6">
        <w:rPr>
          <w:rFonts w:cs="Arial"/>
          <w:sz w:val="20"/>
        </w:rPr>
        <w:t>- le proprietà del calcestruzzo;</w:t>
      </w:r>
    </w:p>
    <w:p w:rsidR="00F252A3" w:rsidRPr="00484DB6" w:rsidRDefault="00F252A3" w:rsidP="00F252A3">
      <w:pPr>
        <w:widowControl/>
        <w:ind w:firstLine="284"/>
        <w:rPr>
          <w:rFonts w:cs="Arial"/>
          <w:sz w:val="20"/>
        </w:rPr>
      </w:pPr>
      <w:r w:rsidRPr="00484DB6">
        <w:rPr>
          <w:rFonts w:cs="Arial"/>
          <w:sz w:val="20"/>
        </w:rPr>
        <w:t>- le modalità di esecuzione del getto.</w:t>
      </w:r>
    </w:p>
    <w:p w:rsidR="00F252A3" w:rsidRPr="00484DB6" w:rsidRDefault="00F252A3" w:rsidP="00F252A3">
      <w:pPr>
        <w:widowControl/>
        <w:ind w:firstLine="284"/>
        <w:rPr>
          <w:rFonts w:cs="Arial"/>
          <w:sz w:val="20"/>
        </w:rPr>
      </w:pPr>
      <w:r w:rsidRPr="00484DB6">
        <w:rPr>
          <w:rFonts w:cs="Arial"/>
          <w:sz w:val="20"/>
        </w:rPr>
        <w:t>La norma UNI 11763-1 fornisce i requisiti generali per la progettazione, la costruzione e l'utilizzo delle casseforme verticali componibili e non, destinate alla realizzazione di attrezzature provvisionali atte a contenere il calcestruzzo durante il getto e la maturazione, corredate da sistemi e/o strutture di stabilizzazione e/o di puntellamento di contrasto.</w:t>
      </w:r>
    </w:p>
    <w:p w:rsidR="00F252A3" w:rsidRPr="00484DB6" w:rsidRDefault="00F252A3" w:rsidP="00F252A3">
      <w:pPr>
        <w:widowControl/>
        <w:ind w:firstLine="284"/>
        <w:rPr>
          <w:rFonts w:cs="Arial"/>
          <w:sz w:val="20"/>
        </w:rPr>
      </w:pPr>
      <w:r w:rsidRPr="00484DB6">
        <w:rPr>
          <w:rFonts w:cs="Arial"/>
          <w:sz w:val="20"/>
        </w:rPr>
        <w:t xml:space="preserve">I casseri potranno essere in legno grezzo o lavorato, ma anche in materiale plastico (PVC), in metallo, in EPS, ecc. </w:t>
      </w:r>
    </w:p>
    <w:p w:rsidR="00F252A3" w:rsidRPr="00484DB6" w:rsidRDefault="00F252A3" w:rsidP="00F252A3">
      <w:pPr>
        <w:widowControl/>
        <w:ind w:firstLine="284"/>
        <w:rPr>
          <w:rFonts w:cs="Arial"/>
          <w:sz w:val="20"/>
        </w:rPr>
      </w:pPr>
      <w:r w:rsidRPr="00484DB6">
        <w:rPr>
          <w:rFonts w:cs="Arial"/>
          <w:sz w:val="20"/>
        </w:rPr>
        <w:t xml:space="preserve">L'addetto alla professione di carpentiere, secondo i requisiti, le conoscenze e le abilità dettate dalla norma UNI 11742, dovrà prestare particolare attenzione alle tavole in legno grezzo </w:t>
      </w:r>
      <w:proofErr w:type="spellStart"/>
      <w:r w:rsidRPr="00484DB6">
        <w:rPr>
          <w:rFonts w:cs="Arial"/>
          <w:sz w:val="20"/>
        </w:rPr>
        <w:t>affinchè</w:t>
      </w:r>
      <w:proofErr w:type="spellEnd"/>
      <w:r w:rsidRPr="00484DB6">
        <w:rPr>
          <w:rFonts w:cs="Arial"/>
          <w:sz w:val="20"/>
        </w:rPr>
        <w:t xml:space="preserve"> siano idonee e bagnate prima del getto per evitare che assorbano acqua dall’impasto cementizio e, se autorizzato, trattate con disarmante per impedirne l’aderenza al calcestruzzo. In proposito saranno propedeutiche le indicazioni della Direzione lavori. </w:t>
      </w:r>
    </w:p>
    <w:p w:rsidR="00F252A3" w:rsidRPr="00484DB6" w:rsidRDefault="00F252A3" w:rsidP="00F252A3">
      <w:pPr>
        <w:widowControl/>
        <w:ind w:firstLine="284"/>
        <w:rPr>
          <w:rFonts w:cs="Arial"/>
          <w:sz w:val="20"/>
        </w:rPr>
      </w:pPr>
      <w:r w:rsidRPr="00484DB6">
        <w:rPr>
          <w:rFonts w:cs="Arial"/>
          <w:sz w:val="20"/>
        </w:rPr>
        <w:t>In generale, il montaggio di casseforme in legno ed il relativo smontaggio avverrà secondo le seguenti modalità:</w:t>
      </w:r>
    </w:p>
    <w:p w:rsidR="00F252A3" w:rsidRPr="00484DB6" w:rsidRDefault="00F252A3" w:rsidP="00F252A3">
      <w:pPr>
        <w:widowControl/>
        <w:ind w:firstLine="284"/>
        <w:rPr>
          <w:rFonts w:cs="Arial"/>
          <w:sz w:val="20"/>
        </w:rPr>
      </w:pPr>
      <w:r w:rsidRPr="00484DB6">
        <w:rPr>
          <w:rFonts w:cs="Arial"/>
          <w:sz w:val="20"/>
        </w:rPr>
        <w:t>- approvvigionamento e movimentazione delle casserature ed armature di sostegno</w:t>
      </w:r>
    </w:p>
    <w:p w:rsidR="00F252A3" w:rsidRPr="00484DB6" w:rsidRDefault="00F252A3" w:rsidP="00F252A3">
      <w:pPr>
        <w:widowControl/>
        <w:ind w:firstLine="284"/>
        <w:rPr>
          <w:rFonts w:cs="Arial"/>
          <w:sz w:val="20"/>
        </w:rPr>
      </w:pPr>
      <w:r w:rsidRPr="00484DB6">
        <w:rPr>
          <w:rFonts w:cs="Arial"/>
          <w:sz w:val="20"/>
        </w:rPr>
        <w:t>- allestimento dell’area necessaria per la lavorazione dei casseri</w:t>
      </w:r>
    </w:p>
    <w:p w:rsidR="00F252A3" w:rsidRPr="00484DB6" w:rsidRDefault="00F252A3" w:rsidP="00F252A3">
      <w:pPr>
        <w:widowControl/>
        <w:ind w:firstLine="284"/>
        <w:rPr>
          <w:rFonts w:cs="Arial"/>
          <w:sz w:val="20"/>
        </w:rPr>
      </w:pPr>
      <w:r w:rsidRPr="00484DB6">
        <w:rPr>
          <w:rFonts w:cs="Arial"/>
          <w:sz w:val="20"/>
        </w:rPr>
        <w:t>- realizzazione delle tavole in legno mediante taglio con sega circolare</w:t>
      </w:r>
    </w:p>
    <w:p w:rsidR="00F252A3" w:rsidRPr="00484DB6" w:rsidRDefault="00F252A3" w:rsidP="00F252A3">
      <w:pPr>
        <w:widowControl/>
        <w:ind w:firstLine="284"/>
        <w:rPr>
          <w:rFonts w:cs="Arial"/>
          <w:sz w:val="20"/>
        </w:rPr>
      </w:pPr>
      <w:r w:rsidRPr="00484DB6">
        <w:rPr>
          <w:rFonts w:cs="Arial"/>
          <w:sz w:val="20"/>
        </w:rPr>
        <w:t>- posizionamento dei casseri, delle armature di sostegno o banchinaggio, secondo le modalità di progetto</w:t>
      </w:r>
    </w:p>
    <w:p w:rsidR="00F252A3" w:rsidRPr="00484DB6" w:rsidRDefault="00F252A3" w:rsidP="00F252A3">
      <w:pPr>
        <w:widowControl/>
        <w:ind w:firstLine="284"/>
        <w:rPr>
          <w:rFonts w:cs="Arial"/>
          <w:sz w:val="20"/>
        </w:rPr>
      </w:pPr>
      <w:r w:rsidRPr="00484DB6">
        <w:rPr>
          <w:rFonts w:cs="Arial"/>
          <w:sz w:val="20"/>
        </w:rPr>
        <w:t>- disarmo delle casserature</w:t>
      </w:r>
    </w:p>
    <w:p w:rsidR="00F252A3" w:rsidRPr="00484DB6" w:rsidRDefault="00F252A3" w:rsidP="00F252A3">
      <w:pPr>
        <w:widowControl/>
        <w:ind w:firstLine="284"/>
        <w:rPr>
          <w:rFonts w:cs="Arial"/>
          <w:sz w:val="20"/>
        </w:rPr>
      </w:pPr>
      <w:r w:rsidRPr="00484DB6">
        <w:rPr>
          <w:rFonts w:cs="Arial"/>
          <w:sz w:val="20"/>
        </w:rPr>
        <w:t>- accatastamento e pulizia delle casserature</w:t>
      </w:r>
    </w:p>
    <w:p w:rsidR="00F252A3" w:rsidRPr="00484DB6" w:rsidRDefault="00F252A3" w:rsidP="00F252A3">
      <w:pPr>
        <w:widowControl/>
        <w:ind w:firstLine="284"/>
        <w:rPr>
          <w:rFonts w:cs="Arial"/>
          <w:sz w:val="20"/>
        </w:rPr>
      </w:pPr>
    </w:p>
    <w:p w:rsidR="00F252A3" w:rsidRPr="00484DB6" w:rsidRDefault="00F252A3" w:rsidP="00F252A3">
      <w:pPr>
        <w:widowControl/>
        <w:ind w:firstLine="284"/>
        <w:rPr>
          <w:rFonts w:cs="Arial"/>
          <w:sz w:val="20"/>
        </w:rPr>
      </w:pPr>
      <w:r w:rsidRPr="00484DB6">
        <w:rPr>
          <w:rFonts w:cs="Arial"/>
          <w:sz w:val="20"/>
        </w:rPr>
        <w:t xml:space="preserve">Nell'esecuzione dell'opera potrà essere richiesto l'uso di macchine, attrezzature, sostanze chimiche (oli disarmanti, ecc.) ed opere provvisionali per le quali il carpentiere dovrà adoperarsi per mettere in atto tutte le procedure di salvaguardia e sicurezza necessarie adottando DPI adeguati, conformemente al d.lgs. 81/2008 e </w:t>
      </w:r>
      <w:proofErr w:type="spellStart"/>
      <w:r w:rsidRPr="00484DB6">
        <w:rPr>
          <w:rFonts w:cs="Arial"/>
          <w:sz w:val="20"/>
        </w:rPr>
        <w:t>s.m.i.</w:t>
      </w:r>
      <w:proofErr w:type="spellEnd"/>
      <w:r w:rsidRPr="00484DB6">
        <w:rPr>
          <w:rFonts w:cs="Arial"/>
          <w:sz w:val="20"/>
        </w:rPr>
        <w:t xml:space="preserve"> </w:t>
      </w:r>
    </w:p>
    <w:p w:rsidR="00F252A3" w:rsidRPr="00484DB6" w:rsidRDefault="00F252A3" w:rsidP="00F252A3">
      <w:pPr>
        <w:widowControl/>
        <w:ind w:firstLine="284"/>
        <w:rPr>
          <w:rFonts w:cs="Arial"/>
          <w:sz w:val="20"/>
        </w:rPr>
      </w:pPr>
      <w:r w:rsidRPr="00484DB6">
        <w:rPr>
          <w:rFonts w:cs="Arial"/>
          <w:sz w:val="20"/>
        </w:rPr>
        <w:t xml:space="preserve">Se la cassaforma non sarà rimossa dopo il getto, rimanendo solidale con il materiale, si parlerà di "cassaforma a perdere". </w:t>
      </w:r>
    </w:p>
    <w:p w:rsidR="00F252A3" w:rsidRPr="00484DB6" w:rsidRDefault="00F252A3" w:rsidP="00F252A3">
      <w:pPr>
        <w:widowControl/>
        <w:ind w:firstLine="284"/>
        <w:rPr>
          <w:rFonts w:cs="Arial"/>
          <w:sz w:val="20"/>
        </w:rPr>
      </w:pPr>
      <w:r w:rsidRPr="00484DB6">
        <w:rPr>
          <w:rFonts w:cs="Arial"/>
          <w:sz w:val="20"/>
        </w:rPr>
        <w:t>La cassaforma a perdere potrà essere utilizzata per la realizzazione di vespai, intercapedini e pavimenti aerati, nonché sotto forma di pannelli realizzati con materiali termoisolanti (es. polistirolo, ecc.), per conferire alla struttura un'idonea inerzia termica. In tali casi, i casseri avranno un prezzo distinto da quelli riutilizzabili.</w:t>
      </w:r>
    </w:p>
    <w:p w:rsidR="00F252A3" w:rsidRPr="00484DB6" w:rsidRDefault="00F252A3" w:rsidP="00F252A3">
      <w:pPr>
        <w:widowControl/>
        <w:ind w:firstLine="284"/>
        <w:rPr>
          <w:rFonts w:cs="Arial"/>
          <w:sz w:val="20"/>
        </w:rPr>
      </w:pPr>
      <w:r w:rsidRPr="00484DB6">
        <w:rPr>
          <w:rFonts w:cs="Arial"/>
          <w:sz w:val="20"/>
        </w:rPr>
        <w:t xml:space="preserve">La funzione del cassero sarà sia geometrica, in modo tale che il calcestruzzo gettato possa assumere la forma richiesta dal progetto, che meccanica, cioè essere in grado di sopportare la pressione del getto sulle sue pareti e l'azione delle vibrazioni di costipamento. La cassaforma dovrà inoltre garantire la tenuta stagna del getto, poiché la mancanza di tenuta potrebbe determinare la fuoriuscita della frazione più fine dell'impasto con la conseguente formazione di una struttura spugnosa e con nidi di ghiaia. </w:t>
      </w:r>
    </w:p>
    <w:p w:rsidR="00F252A3" w:rsidRPr="00484DB6" w:rsidRDefault="00F252A3" w:rsidP="00F252A3">
      <w:pPr>
        <w:widowControl/>
        <w:ind w:firstLine="284"/>
        <w:rPr>
          <w:rFonts w:cs="Arial"/>
          <w:sz w:val="20"/>
        </w:rPr>
      </w:pPr>
      <w:r w:rsidRPr="00484DB6">
        <w:rPr>
          <w:rFonts w:cs="Arial"/>
          <w:sz w:val="20"/>
        </w:rPr>
        <w:t xml:space="preserve">Nel caso di realizzazione di pareti in calcestruzzo, saranno utilizzati idonei puntelli di sostegno nella quantità e dimensione sufficiente a contenere la pressione esercitata dal calcestruzzo fresco sul </w:t>
      </w:r>
      <w:r w:rsidRPr="00484DB6">
        <w:rPr>
          <w:rFonts w:cs="Arial"/>
          <w:sz w:val="20"/>
        </w:rPr>
        <w:lastRenderedPageBreak/>
        <w:t xml:space="preserve">paramento dei casseri. La rimozione dei casseri o disarmo sarà quindi effettuata previo accertamento che la resistenza del calcestruzzo gettato in opera abbia raggiunto la resistenza minima di progetto. </w:t>
      </w:r>
    </w:p>
    <w:p w:rsidR="00F252A3" w:rsidRPr="00484DB6" w:rsidRDefault="00F252A3" w:rsidP="00F252A3">
      <w:pPr>
        <w:widowControl/>
        <w:ind w:firstLine="284"/>
        <w:rPr>
          <w:rFonts w:cs="Arial"/>
          <w:sz w:val="20"/>
        </w:rPr>
      </w:pPr>
    </w:p>
    <w:p w:rsidR="00F252A3" w:rsidRPr="00484DB6" w:rsidRDefault="00F252A3" w:rsidP="00F252A3">
      <w:pPr>
        <w:widowControl/>
        <w:ind w:firstLine="284"/>
        <w:rPr>
          <w:rFonts w:cs="Arial"/>
          <w:sz w:val="20"/>
        </w:rPr>
      </w:pPr>
      <w:r w:rsidRPr="00484DB6">
        <w:rPr>
          <w:rFonts w:cs="Arial"/>
          <w:sz w:val="20"/>
        </w:rPr>
        <w:t>Tutti i prodotti e/o materiali di cui al presente articolo, qualora possano essere dotati di marcatura CE secondo la normativa tecnica vigente, dovranno essere muniti di tale marchio.</w:t>
      </w:r>
    </w:p>
    <w:p w:rsidR="00F252A3" w:rsidRPr="00484DB6" w:rsidRDefault="00F252A3" w:rsidP="00F252A3">
      <w:pPr>
        <w:widowControl/>
        <w:ind w:firstLine="284"/>
        <w:rPr>
          <w:rFonts w:cs="Arial"/>
          <w:sz w:val="20"/>
        </w:rPr>
      </w:pPr>
    </w:p>
    <w:bookmarkEnd w:id="1"/>
    <w:p w:rsidR="00F252A3" w:rsidRPr="00484DB6" w:rsidRDefault="00F252A3" w:rsidP="00F72B12">
      <w:pPr>
        <w:rPr>
          <w:rFonts w:cs="Arial"/>
        </w:rPr>
      </w:pPr>
    </w:p>
    <w:sectPr w:rsidR="00F252A3" w:rsidRPr="00484DB6" w:rsidSect="0042222C">
      <w:headerReference w:type="even" r:id="rId15"/>
      <w:headerReference w:type="default" r:id="rId16"/>
      <w:footerReference w:type="even" r:id="rId17"/>
      <w:footerReference w:type="default" r:id="rId18"/>
      <w:headerReference w:type="first" r:id="rId19"/>
      <w:type w:val="oddPage"/>
      <w:pgSz w:w="11907" w:h="16840" w:code="9"/>
      <w:pgMar w:top="1350" w:right="1134" w:bottom="1260" w:left="1701" w:header="450" w:footer="6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EF" w:rsidRDefault="00575AEF" w:rsidP="00D81F2D">
      <w:r>
        <w:separator/>
      </w:r>
    </w:p>
    <w:p w:rsidR="00575AEF" w:rsidRDefault="00575AEF"/>
  </w:endnote>
  <w:endnote w:type="continuationSeparator" w:id="0">
    <w:p w:rsidR="00575AEF" w:rsidRDefault="00575AEF" w:rsidP="00D81F2D">
      <w:r>
        <w:continuationSeparator/>
      </w:r>
    </w:p>
    <w:p w:rsidR="00575AEF" w:rsidRDefault="00575AE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AE" w:rsidRDefault="001E06AE" w:rsidP="00D81F2D">
    <w:pPr>
      <w:pStyle w:val="Pidipagina"/>
      <w:rPr>
        <w:rStyle w:val="Numeropagina"/>
        <w:szCs w:val="16"/>
      </w:rPr>
    </w:pPr>
    <w:r w:rsidRPr="009F041C">
      <w:t xml:space="preserve">Pag. </w:t>
    </w:r>
    <w:r w:rsidR="0079747A" w:rsidRPr="009F041C">
      <w:rPr>
        <w:rStyle w:val="Numeropagina"/>
        <w:szCs w:val="16"/>
      </w:rPr>
      <w:fldChar w:fldCharType="begin"/>
    </w:r>
    <w:r w:rsidRPr="009F041C">
      <w:rPr>
        <w:rStyle w:val="Numeropagina"/>
        <w:szCs w:val="16"/>
      </w:rPr>
      <w:instrText xml:space="preserve"> PAGE </w:instrText>
    </w:r>
    <w:r w:rsidR="0079747A" w:rsidRPr="009F041C">
      <w:rPr>
        <w:rStyle w:val="Numeropagina"/>
        <w:szCs w:val="16"/>
      </w:rPr>
      <w:fldChar w:fldCharType="separate"/>
    </w:r>
    <w:r>
      <w:rPr>
        <w:rStyle w:val="Numeropagina"/>
        <w:noProof/>
        <w:szCs w:val="16"/>
      </w:rPr>
      <w:t>172</w:t>
    </w:r>
    <w:r w:rsidR="0079747A" w:rsidRPr="009F041C">
      <w:rPr>
        <w:rStyle w:val="Numeropagina"/>
        <w:szCs w:val="16"/>
      </w:rPr>
      <w:fldChar w:fldCharType="end"/>
    </w:r>
    <w:r w:rsidRPr="009F041C">
      <w:rPr>
        <w:rStyle w:val="Numeropagina"/>
        <w:szCs w:val="16"/>
      </w:rPr>
      <w:t xml:space="preserve"> </w:t>
    </w:r>
    <w:r w:rsidRPr="009F041C">
      <w:t xml:space="preserve">di </w:t>
    </w:r>
    <w:r w:rsidR="0079747A" w:rsidRPr="009F041C">
      <w:rPr>
        <w:rStyle w:val="Numeropagina"/>
        <w:szCs w:val="16"/>
      </w:rPr>
      <w:fldChar w:fldCharType="begin"/>
    </w:r>
    <w:r w:rsidRPr="009F041C">
      <w:rPr>
        <w:rStyle w:val="Numeropagina"/>
        <w:szCs w:val="16"/>
      </w:rPr>
      <w:instrText xml:space="preserve"> NUMPAGES </w:instrText>
    </w:r>
    <w:r w:rsidR="0079747A" w:rsidRPr="009F041C">
      <w:rPr>
        <w:rStyle w:val="Numeropagina"/>
        <w:szCs w:val="16"/>
      </w:rPr>
      <w:fldChar w:fldCharType="separate"/>
    </w:r>
    <w:r>
      <w:rPr>
        <w:rStyle w:val="Numeropagina"/>
        <w:noProof/>
        <w:szCs w:val="16"/>
      </w:rPr>
      <w:t>19</w:t>
    </w:r>
    <w:r w:rsidR="0079747A" w:rsidRPr="009F041C">
      <w:rPr>
        <w:rStyle w:val="Numeropagina"/>
        <w:szCs w:val="16"/>
      </w:rPr>
      <w:fldChar w:fldCharType="end"/>
    </w:r>
    <w:r>
      <w:rPr>
        <w:rStyle w:val="Numeropagina"/>
        <w:szCs w:val="16"/>
      </w:rPr>
      <w:tab/>
    </w:r>
  </w:p>
  <w:p w:rsidR="001E06AE" w:rsidRDefault="001E06AE" w:rsidP="00A91F92">
    <w:pPr>
      <w:pStyle w:val="Pidipagina"/>
      <w:jc w:val="center"/>
    </w:pPr>
    <w:r>
      <w:rPr>
        <w:b/>
      </w:rPr>
      <w:t>INGECO s.r.l</w:t>
    </w:r>
    <w:r>
      <w:t>. –Ingegneria Gestione e Coordinamento</w:t>
    </w:r>
  </w:p>
  <w:p w:rsidR="001E06AE" w:rsidRDefault="001E06AE" w:rsidP="00D81F2D">
    <w:pPr>
      <w:pStyle w:val="Pidipagina"/>
    </w:pPr>
    <w:r>
      <w:t>Via Matteucci, 38 – 56124 PISA – tel. 050 9711185 – fax 050 3151668 – Partita IVA 01759050501- Iscrizione REA n. 152665</w:t>
    </w:r>
  </w:p>
  <w:p w:rsidR="001E06AE" w:rsidRDefault="001E06AE" w:rsidP="00D81F2D"/>
  <w:p w:rsidR="001E06AE" w:rsidRPr="009F041C" w:rsidRDefault="001E06AE" w:rsidP="00D81F2D">
    <w:pPr>
      <w:pStyle w:val="Pidipagina"/>
    </w:pPr>
  </w:p>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AE" w:rsidRDefault="001E06AE" w:rsidP="00A95DE6">
    <w:pPr>
      <w:pStyle w:val="Intestazione"/>
      <w:rPr>
        <w:rFonts w:cs="Arial"/>
        <w:sz w:val="18"/>
        <w:szCs w:val="18"/>
      </w:rPr>
    </w:pPr>
  </w:p>
  <w:p w:rsidR="001E06AE" w:rsidRDefault="001E06AE" w:rsidP="004351BB">
    <w:pPr>
      <w:pStyle w:val="PreformattatoHTML"/>
      <w:rPr>
        <w:rFonts w:ascii="Arial" w:hAnsi="Arial" w:cs="Arial"/>
        <w:sz w:val="18"/>
        <w:szCs w:val="18"/>
      </w:rPr>
    </w:pPr>
  </w:p>
  <w:p w:rsidR="001E06AE" w:rsidRPr="00F103B3" w:rsidRDefault="0079747A" w:rsidP="00EB0A21">
    <w:pPr>
      <w:pStyle w:val="PreformattatoHTML"/>
      <w:jc w:val="right"/>
      <w:rPr>
        <w:rFonts w:ascii="Arial" w:hAnsi="Arial" w:cs="Arial"/>
        <w:sz w:val="18"/>
        <w:szCs w:val="18"/>
      </w:rPr>
    </w:pPr>
    <w:r w:rsidRPr="00F103B3">
      <w:rPr>
        <w:rFonts w:ascii="Arial" w:hAnsi="Arial" w:cs="Arial"/>
        <w:sz w:val="18"/>
        <w:szCs w:val="18"/>
      </w:rPr>
      <w:fldChar w:fldCharType="begin"/>
    </w:r>
    <w:r w:rsidR="001E06AE" w:rsidRPr="00F103B3">
      <w:rPr>
        <w:rFonts w:ascii="Arial" w:hAnsi="Arial" w:cs="Arial"/>
        <w:sz w:val="18"/>
        <w:szCs w:val="18"/>
      </w:rPr>
      <w:instrText xml:space="preserve"> PAGE </w:instrText>
    </w:r>
    <w:r w:rsidRPr="00F103B3">
      <w:rPr>
        <w:rFonts w:ascii="Arial" w:hAnsi="Arial" w:cs="Arial"/>
        <w:sz w:val="18"/>
        <w:szCs w:val="18"/>
      </w:rPr>
      <w:fldChar w:fldCharType="separate"/>
    </w:r>
    <w:r w:rsidR="00E7415D">
      <w:rPr>
        <w:rFonts w:ascii="Arial" w:hAnsi="Arial" w:cs="Arial"/>
        <w:noProof/>
        <w:sz w:val="18"/>
        <w:szCs w:val="18"/>
      </w:rPr>
      <w:t>4</w:t>
    </w:r>
    <w:r w:rsidRPr="00F103B3">
      <w:rPr>
        <w:rFonts w:ascii="Arial" w:hAnsi="Arial" w:cs="Arial"/>
        <w:sz w:val="18"/>
        <w:szCs w:val="18"/>
      </w:rPr>
      <w:fldChar w:fldCharType="end"/>
    </w:r>
  </w:p>
  <w:p w:rsidR="001E06AE" w:rsidRDefault="001E06A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EF" w:rsidRDefault="00575AEF" w:rsidP="00D81F2D">
      <w:r>
        <w:separator/>
      </w:r>
    </w:p>
    <w:p w:rsidR="00575AEF" w:rsidRDefault="00575AEF"/>
  </w:footnote>
  <w:footnote w:type="continuationSeparator" w:id="0">
    <w:p w:rsidR="00575AEF" w:rsidRDefault="00575AEF" w:rsidP="00D81F2D">
      <w:r>
        <w:continuationSeparator/>
      </w:r>
    </w:p>
    <w:p w:rsidR="00575AEF" w:rsidRDefault="00575AE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AE" w:rsidRPr="002361D6" w:rsidRDefault="001E06AE" w:rsidP="002361D6">
    <w:pPr>
      <w:pStyle w:val="Intestazione"/>
      <w:jc w:val="right"/>
    </w:pPr>
    <w:proofErr w:type="spellStart"/>
    <w:r w:rsidRPr="002361D6">
      <w:t>Ingeco</w:t>
    </w:r>
    <w:proofErr w:type="spellEnd"/>
    <w:r w:rsidRPr="002361D6">
      <w:t xml:space="preserve"> </w:t>
    </w:r>
    <w:proofErr w:type="spellStart"/>
    <w:r w:rsidRPr="002361D6">
      <w:t>S.r.l.-Pisa</w:t>
    </w:r>
    <w:proofErr w:type="spellEnd"/>
    <w:r w:rsidRPr="002361D6">
      <w:t xml:space="preserve">         </w:t>
    </w:r>
    <w:r>
      <w:t xml:space="preserve">              </w:t>
    </w:r>
    <w:r w:rsidRPr="002361D6">
      <w:t xml:space="preserve">                                           </w:t>
    </w:r>
    <w:r>
      <w:t>Par</w:t>
    </w:r>
    <w:r w:rsidRPr="002361D6">
      <w:t>cheggio addetti aeroportuali e</w:t>
    </w:r>
  </w:p>
  <w:p w:rsidR="001E06AE" w:rsidRPr="002361D6" w:rsidRDefault="001E06AE" w:rsidP="002361D6">
    <w:pPr>
      <w:pStyle w:val="Intestazione"/>
      <w:jc w:val="center"/>
    </w:pPr>
    <w:r>
      <w:t xml:space="preserve">                                                                                 </w:t>
    </w:r>
    <w:r w:rsidRPr="002361D6">
      <w:t xml:space="preserve">viabilità fronte terminal - Aeroporto </w:t>
    </w:r>
    <w:proofErr w:type="spellStart"/>
    <w:r w:rsidRPr="002361D6">
      <w:t>G.Galilei</w:t>
    </w:r>
    <w:proofErr w:type="spellEnd"/>
    <w:r w:rsidRPr="002361D6">
      <w:t xml:space="preserve"> - Pisa</w:t>
    </w:r>
  </w:p>
  <w:p w:rsidR="001E06AE" w:rsidRPr="00425062" w:rsidRDefault="001E06AE" w:rsidP="00D81F2D">
    <w:pPr>
      <w:pStyle w:val="Intestazione"/>
    </w:pPr>
  </w:p>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p w:rsidR="001E06AE" w:rsidRDefault="001E06A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9CF" w:rsidRPr="00C749CF" w:rsidRDefault="00C749CF" w:rsidP="00C749CF">
    <w:pPr>
      <w:pStyle w:val="Intestazione"/>
      <w:jc w:val="left"/>
      <w:rPr>
        <w:iCs/>
        <w:sz w:val="16"/>
        <w:szCs w:val="14"/>
      </w:rPr>
    </w:pPr>
    <w:r w:rsidRPr="00C749CF">
      <w:rPr>
        <w:iCs/>
        <w:sz w:val="16"/>
        <w:szCs w:val="14"/>
      </w:rPr>
      <w:t>VARIANTE AL LOTTO N.2 DEL COLLEGAMENTO PEDONALE DAL CENTRO STORICO DEL CAPOLUOGO ALLE AREE DEI SERVIZI PUBBLICI LUNGO VIALE GRAMSCI, PECCIOLI</w:t>
    </w:r>
    <w:r w:rsidRPr="00C749CF">
      <w:rPr>
        <w:sz w:val="16"/>
        <w:szCs w:val="14"/>
      </w:rPr>
      <w:t>– CUP D42F20000570004 – CIG: BB53B3BFCF</w:t>
    </w:r>
  </w:p>
  <w:p w:rsidR="00C749CF" w:rsidRPr="00C749CF" w:rsidRDefault="00C749CF" w:rsidP="00C749CF">
    <w:pPr>
      <w:pStyle w:val="Intestazione"/>
      <w:jc w:val="center"/>
      <w:rPr>
        <w:sz w:val="16"/>
        <w:szCs w:val="14"/>
      </w:rPr>
    </w:pPr>
  </w:p>
  <w:p w:rsidR="00C749CF" w:rsidRPr="00C749CF" w:rsidRDefault="00C749CF" w:rsidP="00C749CF">
    <w:pPr>
      <w:pStyle w:val="Intestazione"/>
      <w:jc w:val="center"/>
      <w:rPr>
        <w:b/>
        <w:bCs/>
        <w:sz w:val="16"/>
        <w:szCs w:val="14"/>
      </w:rPr>
    </w:pPr>
    <w:r w:rsidRPr="00C749CF">
      <w:rPr>
        <w:b/>
        <w:bCs/>
        <w:sz w:val="16"/>
        <w:szCs w:val="14"/>
      </w:rPr>
      <w:t>PROGETTO ESECUTIVO</w:t>
    </w:r>
    <w:r w:rsidRPr="00C749CF">
      <w:rPr>
        <w:b/>
        <w:bCs/>
        <w:iCs/>
        <w:sz w:val="16"/>
        <w:szCs w:val="14"/>
      </w:rPr>
      <w:t xml:space="preserve">– </w:t>
    </w:r>
    <w:r w:rsidRPr="00C749CF">
      <w:rPr>
        <w:b/>
        <w:bCs/>
        <w:sz w:val="16"/>
        <w:szCs w:val="14"/>
      </w:rPr>
      <w:t>LOTTO FUNZIONALE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AE" w:rsidRPr="005D1FBA" w:rsidRDefault="001E06AE" w:rsidP="005D1FBA">
    <w:pPr>
      <w:pStyle w:val="Intestazione"/>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FFFFFFF"/>
    <w:lvl w:ilvl="0">
      <w:start w:val="1"/>
      <w:numFmt w:val="decimal"/>
      <w:pStyle w:val="Elencocontinua"/>
      <w:lvlText w:val="%1."/>
      <w:lvlJc w:val="left"/>
    </w:lvl>
  </w:abstractNum>
  <w:abstractNum w:abstractNumId="1">
    <w:nsid w:val="016A7EB7"/>
    <w:multiLevelType w:val="multilevel"/>
    <w:tmpl w:val="1156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8E6E83"/>
    <w:multiLevelType w:val="multilevel"/>
    <w:tmpl w:val="FFFFFFFF"/>
    <w:lvl w:ilvl="0">
      <w:start w:val="1"/>
      <w:numFmt w:val="bullet"/>
      <w:lvlText w:val=""/>
      <w:lvlJc w:val="left"/>
      <w:rPr>
        <w:rFonts w:ascii="Wingdings" w:hAnsi="Wingdings"/>
        <w:sz w:val="18"/>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
    <w:nsid w:val="12CD76EC"/>
    <w:multiLevelType w:val="multilevel"/>
    <w:tmpl w:val="FFFFFFFF"/>
    <w:lvl w:ilvl="0">
      <w:start w:val="1"/>
      <w:numFmt w:val="bullet"/>
      <w:lvlText w:val=""/>
      <w:lvlJc w:val="left"/>
      <w:rPr>
        <w:rFonts w:ascii="Wingdings" w:hAnsi="Wingdings"/>
        <w:sz w:val="18"/>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
    <w:nsid w:val="37347656"/>
    <w:multiLevelType w:val="multilevel"/>
    <w:tmpl w:val="FFFFFFFF"/>
    <w:lvl w:ilvl="0">
      <w:start w:val="1"/>
      <w:numFmt w:val="bullet"/>
      <w:lvlText w:val=""/>
      <w:lvlJc w:val="left"/>
      <w:rPr>
        <w:rFonts w:ascii="Wingdings" w:hAnsi="Wingdings"/>
        <w:sz w:val="18"/>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
    <w:nsid w:val="4FE42254"/>
    <w:multiLevelType w:val="multilevel"/>
    <w:tmpl w:val="FFFFFFFF"/>
    <w:lvl w:ilvl="0">
      <w:start w:val="1"/>
      <w:numFmt w:val="decimal"/>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
    <w:nsid w:val="50035143"/>
    <w:multiLevelType w:val="multilevel"/>
    <w:tmpl w:val="FFFFFFFF"/>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
    <w:nsid w:val="5767ABBB"/>
    <w:multiLevelType w:val="multilevel"/>
    <w:tmpl w:val="FFFFFFFF"/>
    <w:name w:val="List1466411963_1"/>
    <w:lvl w:ilvl="0">
      <w:start w:val="1"/>
      <w:numFmt w:val="decimal"/>
      <w:pStyle w:val="Puntoelenco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767ABBD"/>
    <w:multiLevelType w:val="multilevel"/>
    <w:tmpl w:val="FFFFFFFF"/>
    <w:name w:val="List1466411965_1"/>
    <w:lvl w:ilvl="0">
      <w:start w:val="1"/>
      <w:numFmt w:val="decimal"/>
      <w:pStyle w:val="Puntoelenco"/>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767ABBF"/>
    <w:multiLevelType w:val="multilevel"/>
    <w:tmpl w:val="FFFFFFFF"/>
    <w:name w:val="List146641196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767AEB0"/>
    <w:multiLevelType w:val="multilevel"/>
    <w:tmpl w:val="FFFFFFFF"/>
    <w:name w:val="List146641272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767C30D"/>
    <w:multiLevelType w:val="multilevel"/>
    <w:tmpl w:val="FFFFFFFF"/>
    <w:name w:val="List14664179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767C38F"/>
    <w:multiLevelType w:val="multilevel"/>
    <w:tmpl w:val="FFFFFFFF"/>
    <w:name w:val="List14664180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767C395"/>
    <w:multiLevelType w:val="multilevel"/>
    <w:tmpl w:val="FFFFFFFF"/>
    <w:name w:val="List146641806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767C725"/>
    <w:multiLevelType w:val="multilevel"/>
    <w:tmpl w:val="FFFFFFFF"/>
    <w:name w:val="List146641898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767C728"/>
    <w:multiLevelType w:val="multilevel"/>
    <w:tmpl w:val="FFFFFFFF"/>
    <w:name w:val="List14664189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767C72B"/>
    <w:multiLevelType w:val="multilevel"/>
    <w:tmpl w:val="FFFFFFFF"/>
    <w:name w:val="List146641898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767C731"/>
    <w:multiLevelType w:val="multilevel"/>
    <w:tmpl w:val="FFFFFFFF"/>
    <w:name w:val="List146641899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5767C73B"/>
    <w:multiLevelType w:val="multilevel"/>
    <w:tmpl w:val="FFFFFFFF"/>
    <w:name w:val="List146641900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5767EE25"/>
    <w:multiLevelType w:val="multilevel"/>
    <w:tmpl w:val="FFFFFFFF"/>
    <w:name w:val="List146642896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5767FFF1"/>
    <w:multiLevelType w:val="multilevel"/>
    <w:tmpl w:val="FFFFFFFF"/>
    <w:name w:val="List146643352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767FFF4"/>
    <w:multiLevelType w:val="multilevel"/>
    <w:tmpl w:val="FFFFFFFF"/>
    <w:name w:val="List146643352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5893049A"/>
    <w:multiLevelType w:val="multilevel"/>
    <w:tmpl w:val="FFFFFFFF"/>
    <w:name w:val="List148602997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5893646C"/>
    <w:multiLevelType w:val="multilevel"/>
    <w:tmpl w:val="FFFFFFFF"/>
    <w:name w:val="List148605450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5893646E"/>
    <w:multiLevelType w:val="multilevel"/>
    <w:tmpl w:val="FFFFFFFF"/>
    <w:name w:val="List148605451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58936AF7"/>
    <w:multiLevelType w:val="multilevel"/>
    <w:tmpl w:val="FFFFFFFF"/>
    <w:name w:val="List148605618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5A256D6C"/>
    <w:multiLevelType w:val="multilevel"/>
    <w:tmpl w:val="FFFFFFFF"/>
    <w:name w:val="List15124022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5A702738"/>
    <w:multiLevelType w:val="multilevel"/>
    <w:tmpl w:val="FFFFFFFF"/>
    <w:name w:val="List15172995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5B3A03B7"/>
    <w:multiLevelType w:val="multilevel"/>
    <w:tmpl w:val="FFFFFFFF"/>
    <w:lvl w:ilvl="0">
      <w:start w:val="1"/>
      <w:numFmt w:val="bullet"/>
      <w:lvlText w:val=""/>
      <w:lvlJc w:val="left"/>
      <w:rPr>
        <w:rFonts w:ascii="Wingdings" w:hAnsi="Wingdings"/>
        <w:sz w:val="18"/>
      </w:rPr>
    </w:lvl>
    <w:lvl w:ilvl="1">
      <w:start w:val="2"/>
      <w:numFmt w:val="bullet"/>
      <w:lvlText w:val="-"/>
      <w:lvlJc w:val="left"/>
      <w:rPr>
        <w:rFonts w:ascii="Garamond" w:hAnsi="Garamond" w:cs="Garamond"/>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9">
    <w:nsid w:val="5FE0D957"/>
    <w:multiLevelType w:val="multilevel"/>
    <w:tmpl w:val="FFFFFFFF"/>
    <w:name w:val="List16085712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FE0DAC1"/>
    <w:multiLevelType w:val="multilevel"/>
    <w:tmpl w:val="FFFFFFFF"/>
    <w:name w:val="List160857158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5FE0DADA"/>
    <w:multiLevelType w:val="multilevel"/>
    <w:tmpl w:val="FFFFFFFF"/>
    <w:name w:val="List160857161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5FE0DAF9"/>
    <w:multiLevelType w:val="multilevel"/>
    <w:tmpl w:val="FFFFFFFF"/>
    <w:name w:val="List160857164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6141C89E"/>
    <w:multiLevelType w:val="multilevel"/>
    <w:tmpl w:val="FFFFFFFF"/>
    <w:name w:val="List163170115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6141C8B0"/>
    <w:multiLevelType w:val="multilevel"/>
    <w:tmpl w:val="FFFFFFFF"/>
    <w:name w:val="List163170116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6141C8DA"/>
    <w:multiLevelType w:val="multilevel"/>
    <w:tmpl w:val="FFFFFFFF"/>
    <w:name w:val="List163170121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6141C8DC"/>
    <w:multiLevelType w:val="multilevel"/>
    <w:tmpl w:val="FFFFFFFF"/>
    <w:name w:val="List16317012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6141C8DD"/>
    <w:multiLevelType w:val="multilevel"/>
    <w:tmpl w:val="FFFFFFFF"/>
    <w:name w:val="List163170121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6141C8DE"/>
    <w:multiLevelType w:val="multilevel"/>
    <w:tmpl w:val="FFFFFFFF"/>
    <w:name w:val="List1631701213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6141C91F"/>
    <w:multiLevelType w:val="multilevel"/>
    <w:tmpl w:val="FFFFFFFF"/>
    <w:name w:val="List16317012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6141CAF4"/>
    <w:multiLevelType w:val="multilevel"/>
    <w:tmpl w:val="FFFFFFFF"/>
    <w:name w:val="List163170174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6141CB0C"/>
    <w:multiLevelType w:val="multilevel"/>
    <w:tmpl w:val="FFFFFFFF"/>
    <w:name w:val="List163170177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6141CB71"/>
    <w:multiLevelType w:val="multilevel"/>
    <w:tmpl w:val="FFFFFFFF"/>
    <w:name w:val="List163170187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6141CB86"/>
    <w:multiLevelType w:val="multilevel"/>
    <w:tmpl w:val="FFFFFFFF"/>
    <w:name w:val="List163170189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6141CB96"/>
    <w:multiLevelType w:val="multilevel"/>
    <w:tmpl w:val="FFFFFFFF"/>
    <w:name w:val="List163170191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6141CD75"/>
    <w:multiLevelType w:val="multilevel"/>
    <w:tmpl w:val="FFFFFFFF"/>
    <w:name w:val="List1631702389_1"/>
    <w:lvl w:ilvl="0">
      <w:start w:val="1"/>
      <w:numFmt w:val="decimal"/>
      <w:lvlText w:val="%1"/>
      <w:lvlJc w:val="left"/>
    </w:lvl>
    <w:lvl w:ilvl="1">
      <w:start w:val="1"/>
      <w:numFmt w:val="decimal"/>
      <w:pStyle w:val="Titolo2"/>
      <w:lvlText w:val="%2."/>
      <w:lvlJc w:val="left"/>
    </w:lvl>
    <w:lvl w:ilvl="2">
      <w:start w:val="1"/>
      <w:numFmt w:val="decimal"/>
      <w:pStyle w:val="Titolo3"/>
      <w:lvlText w:val="%3."/>
      <w:lvlJc w:val="left"/>
    </w:lvl>
    <w:lvl w:ilvl="3">
      <w:start w:val="1"/>
      <w:numFmt w:val="decimal"/>
      <w:pStyle w:val="Titolo4"/>
      <w:lvlText w:val="%4."/>
      <w:lvlJc w:val="left"/>
    </w:lvl>
    <w:lvl w:ilvl="4">
      <w:start w:val="1"/>
      <w:numFmt w:val="decimal"/>
      <w:pStyle w:val="Titolo5"/>
      <w:lvlText w:val="%5."/>
      <w:lvlJc w:val="left"/>
    </w:lvl>
    <w:lvl w:ilvl="5">
      <w:start w:val="1"/>
      <w:numFmt w:val="decimal"/>
      <w:pStyle w:val="Titolo6"/>
      <w:lvlText w:val="%6."/>
      <w:lvlJc w:val="left"/>
    </w:lvl>
    <w:lvl w:ilvl="6">
      <w:start w:val="1"/>
      <w:numFmt w:val="decimal"/>
      <w:pStyle w:val="Titolo7"/>
      <w:lvlText w:val="%7."/>
      <w:lvlJc w:val="left"/>
    </w:lvl>
    <w:lvl w:ilvl="7">
      <w:start w:val="1"/>
      <w:numFmt w:val="decimal"/>
      <w:pStyle w:val="Titolo8"/>
      <w:lvlText w:val="%8."/>
      <w:lvlJc w:val="left"/>
    </w:lvl>
    <w:lvl w:ilvl="8">
      <w:start w:val="1"/>
      <w:numFmt w:val="decimal"/>
      <w:pStyle w:val="Titolo9"/>
      <w:lvlText w:val="%9."/>
      <w:lvlJc w:val="left"/>
    </w:lvl>
  </w:abstractNum>
  <w:abstractNum w:abstractNumId="46">
    <w:nsid w:val="6141CDB7"/>
    <w:multiLevelType w:val="multilevel"/>
    <w:tmpl w:val="FFFFFFFF"/>
    <w:name w:val="List1631702455_1"/>
    <w:lvl w:ilvl="0">
      <w:start w:val="1"/>
      <w:numFmt w:val="decimal"/>
      <w:pStyle w:val="Capitolato-Titolo1"/>
      <w:lvlText w:val="%1."/>
      <w:lvlJc w:val="left"/>
    </w:lvl>
    <w:lvl w:ilvl="1">
      <w:start w:val="1"/>
      <w:numFmt w:val="decimal"/>
      <w:pStyle w:val="Capitolato-Titolo2"/>
      <w:lvlText w:val="%2."/>
      <w:lvlJc w:val="left"/>
    </w:lvl>
    <w:lvl w:ilvl="2">
      <w:start w:val="1"/>
      <w:numFmt w:val="decimal"/>
      <w:pStyle w:val="Capitolato-Titolo3"/>
      <w:lvlText w:val="%3."/>
      <w:lvlJc w:val="left"/>
    </w:lvl>
    <w:lvl w:ilvl="3">
      <w:start w:val="1"/>
      <w:numFmt w:val="decimal"/>
      <w:pStyle w:val="Capitolato-Titolo4"/>
      <w:lvlText w:val="%4."/>
      <w:lvlJc w:val="left"/>
    </w:lvl>
    <w:lvl w:ilvl="4">
      <w:start w:val="1"/>
      <w:numFmt w:val="decimal"/>
      <w:pStyle w:val="Capitolato-Titolo5"/>
      <w:lvlText w:val="%5."/>
      <w:lvlJc w:val="left"/>
    </w:lvl>
    <w:lvl w:ilvl="5">
      <w:start w:val="1"/>
      <w:numFmt w:val="decimal"/>
      <w:pStyle w:val="Capitolato-Titolo6"/>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6141CDFD"/>
    <w:multiLevelType w:val="multilevel"/>
    <w:tmpl w:val="FFFFFFFF"/>
    <w:name w:val="List1631702525_1"/>
    <w:lvl w:ilvl="0">
      <w:start w:val="1"/>
      <w:numFmt w:val="decimal"/>
      <w:pStyle w:val="capitolatocapo"/>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6141F97C"/>
    <w:multiLevelType w:val="multilevel"/>
    <w:tmpl w:val="FFFFFFFF"/>
    <w:name w:val="List163171366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6141F990"/>
    <w:multiLevelType w:val="multilevel"/>
    <w:tmpl w:val="FFFFFFFF"/>
    <w:name w:val="List1631713680_1"/>
    <w:lvl w:ilvl="0">
      <w:start w:val="1"/>
      <w:numFmt w:val="decimal"/>
      <w:pStyle w:val="AICE-CDT"/>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6141F9AB"/>
    <w:multiLevelType w:val="multilevel"/>
    <w:tmpl w:val="FFFFFFFF"/>
    <w:name w:val="List1631713707_1"/>
    <w:lvl w:ilvl="0">
      <w:start w:val="1"/>
      <w:numFmt w:val="decimal"/>
      <w:lvlText w:val="%1"/>
      <w:lvlJc w:val="left"/>
    </w:lvl>
    <w:lvl w:ilvl="1">
      <w:start w:val="1"/>
      <w:numFmt w:val="decimal"/>
      <w:pStyle w:val="STILE3"/>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614205AF"/>
    <w:multiLevelType w:val="multilevel"/>
    <w:tmpl w:val="FFFFFFFF"/>
    <w:name w:val="List1631716783_1"/>
    <w:lvl w:ilvl="0">
      <w:start w:val="1"/>
      <w:numFmt w:val="decimal"/>
      <w:pStyle w:val="Indice2"/>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45"/>
  </w:num>
  <w:num w:numId="3">
    <w:abstractNumId w:val="46"/>
    <w:lvlOverride w:ilvl="0">
      <w:startOverride w:val="1"/>
      <w:lvl w:ilvl="0">
        <w:start w:val="1"/>
        <w:numFmt w:val="bullet"/>
        <w:pStyle w:val="Capitolato-Titolo1"/>
        <w:lvlText w:val="·"/>
        <w:lvlJc w:val="left"/>
        <w:rPr>
          <w:rFonts w:ascii="Symbol" w:hAnsi="Symbol" w:cs="Symbol"/>
        </w:rPr>
      </w:lvl>
    </w:lvlOverride>
    <w:lvlOverride w:ilvl="1">
      <w:startOverride w:val="1"/>
      <w:lvl w:ilvl="1">
        <w:start w:val="1"/>
        <w:numFmt w:val="bullet"/>
        <w:pStyle w:val="Capitolato-Titolo2"/>
        <w:lvlText w:val="·"/>
        <w:lvlJc w:val="left"/>
        <w:rPr>
          <w:rFonts w:ascii="Symbol" w:hAnsi="Symbol" w:cs="Symbol"/>
        </w:rPr>
      </w:lvl>
    </w:lvlOverride>
    <w:lvlOverride w:ilvl="2">
      <w:startOverride w:val="1"/>
      <w:lvl w:ilvl="2">
        <w:start w:val="1"/>
        <w:numFmt w:val="bullet"/>
        <w:pStyle w:val="Capitolato-Titolo3"/>
        <w:lvlText w:val="·"/>
        <w:lvlJc w:val="left"/>
        <w:rPr>
          <w:rFonts w:ascii="Symbol" w:hAnsi="Symbol" w:cs="Symbol"/>
        </w:rPr>
      </w:lvl>
    </w:lvlOverride>
    <w:lvlOverride w:ilvl="3">
      <w:startOverride w:val="1"/>
      <w:lvl w:ilvl="3">
        <w:start w:val="1"/>
        <w:numFmt w:val="bullet"/>
        <w:pStyle w:val="Capitolato-Titolo4"/>
        <w:lvlText w:val="·"/>
        <w:lvlJc w:val="left"/>
        <w:rPr>
          <w:rFonts w:ascii="Symbol" w:hAnsi="Symbol" w:cs="Symbol"/>
        </w:rPr>
      </w:lvl>
    </w:lvlOverride>
    <w:lvlOverride w:ilvl="4">
      <w:startOverride w:val="1"/>
      <w:lvl w:ilvl="4">
        <w:start w:val="1"/>
        <w:numFmt w:val="bullet"/>
        <w:pStyle w:val="Capitolato-Titolo5"/>
        <w:lvlText w:val="·"/>
        <w:lvlJc w:val="left"/>
        <w:rPr>
          <w:rFonts w:ascii="Symbol" w:hAnsi="Symbol" w:cs="Symbol"/>
        </w:rPr>
      </w:lvl>
    </w:lvlOverride>
    <w:lvlOverride w:ilvl="5">
      <w:startOverride w:val="1"/>
      <w:lvl w:ilvl="5">
        <w:start w:val="1"/>
        <w:numFmt w:val="bullet"/>
        <w:pStyle w:val="Capitolato-Titolo6"/>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4">
    <w:abstractNumId w:val="47"/>
    <w:lvlOverride w:ilvl="0">
      <w:startOverride w:val="1"/>
      <w:lvl w:ilvl="0">
        <w:start w:val="1"/>
        <w:numFmt w:val="bullet"/>
        <w:pStyle w:val="capitolatocapo"/>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
    <w:abstractNumId w:val="48"/>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6">
    <w:abstractNumId w:val="49"/>
    <w:lvlOverride w:ilvl="0">
      <w:startOverride w:val="1"/>
      <w:lvl w:ilvl="0">
        <w:start w:val="1"/>
        <w:numFmt w:val="bullet"/>
        <w:pStyle w:val="AICE-CD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7">
    <w:abstractNumId w:val="50"/>
  </w:num>
  <w:num w:numId="8">
    <w:abstractNumId w:val="51"/>
    <w:lvlOverride w:ilvl="0">
      <w:startOverride w:val="1"/>
      <w:lvl w:ilvl="0">
        <w:start w:val="1"/>
        <w:numFmt w:val="bullet"/>
        <w:pStyle w:val="Indice2"/>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9">
    <w:abstractNumId w:val="7"/>
    <w:lvlOverride w:ilvl="0">
      <w:startOverride w:val="1"/>
      <w:lvl w:ilvl="0">
        <w:start w:val="1"/>
        <w:numFmt w:val="bullet"/>
        <w:pStyle w:val="Puntoelenco1"/>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0">
    <w:abstractNumId w:val="8"/>
    <w:lvlOverride w:ilvl="0">
      <w:startOverride w:val="1"/>
      <w:lvl w:ilvl="0">
        <w:start w:val="1"/>
        <w:numFmt w:val="bullet"/>
        <w:pStyle w:val="Puntoelenco"/>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1">
    <w:abstractNumId w:val="9"/>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2">
    <w:abstractNumId w:val="2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3">
    <w:abstractNumId w:val="0"/>
    <w:lvlOverride w:ilvl="0">
      <w:startOverride w:val="1"/>
      <w:lvl w:ilvl="0">
        <w:start w:val="1"/>
        <w:numFmt w:val="bullet"/>
        <w:pStyle w:val="Elencocontinua"/>
        <w:lvlText w:val="·"/>
        <w:lvlJc w:val="left"/>
        <w:rPr>
          <w:rFonts w:ascii="Symbol" w:hAnsi="Symbol" w:cs="Symbol"/>
        </w:rPr>
      </w:lvl>
    </w:lvlOverride>
  </w:num>
  <w:num w:numId="14">
    <w:abstractNumId w:val="0"/>
    <w:lvlOverride w:ilvl="0">
      <w:startOverride w:val="1"/>
      <w:lvl w:ilvl="0">
        <w:start w:val="1"/>
        <w:numFmt w:val="bullet"/>
        <w:pStyle w:val="Elencocontinua"/>
        <w:lvlText w:val="·"/>
        <w:lvlJc w:val="left"/>
        <w:rPr>
          <w:rFonts w:ascii="Symbol" w:hAnsi="Symbol" w:cs="Symbol"/>
        </w:rPr>
      </w:lvl>
    </w:lvlOverride>
  </w:num>
  <w:num w:numId="15">
    <w:abstractNumId w:val="33"/>
  </w:num>
  <w:num w:numId="16">
    <w:abstractNumId w:val="34"/>
  </w:num>
  <w:num w:numId="17">
    <w:abstractNumId w:val="3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8">
    <w:abstractNumId w:val="3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9">
    <w:abstractNumId w:val="37"/>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0">
    <w:abstractNumId w:val="38"/>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1">
    <w:abstractNumId w:val="10"/>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2">
    <w:abstractNumId w:val="39"/>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3">
    <w:abstractNumId w:val="1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4">
    <w:abstractNumId w:val="0"/>
    <w:lvlOverride w:ilvl="0">
      <w:startOverride w:val="1"/>
      <w:lvl w:ilvl="0">
        <w:start w:val="1"/>
        <w:numFmt w:val="bullet"/>
        <w:pStyle w:val="Elencocontinua"/>
        <w:lvlText w:val="·"/>
        <w:lvlJc w:val="left"/>
        <w:rPr>
          <w:rFonts w:ascii="Symbol" w:hAnsi="Symbol" w:cs="Symbol"/>
        </w:rPr>
      </w:lvl>
    </w:lvlOverride>
  </w:num>
  <w:num w:numId="25">
    <w:abstractNumId w:val="1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6">
    <w:abstractNumId w:val="1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7">
    <w:abstractNumId w:val="2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8">
    <w:abstractNumId w:val="24"/>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9">
    <w:abstractNumId w:val="0"/>
    <w:lvlOverride w:ilvl="0">
      <w:startOverride w:val="1"/>
      <w:lvl w:ilvl="0">
        <w:start w:val="1"/>
        <w:numFmt w:val="bullet"/>
        <w:pStyle w:val="Elencocontinua"/>
        <w:lvlText w:val="·"/>
        <w:lvlJc w:val="left"/>
        <w:rPr>
          <w:rFonts w:ascii="Symbol" w:hAnsi="Symbol" w:cs="Symbol"/>
        </w:rPr>
      </w:lvl>
    </w:lvlOverride>
  </w:num>
  <w:num w:numId="30">
    <w:abstractNumId w:val="0"/>
    <w:lvlOverride w:ilvl="0">
      <w:startOverride w:val="1"/>
      <w:lvl w:ilvl="0">
        <w:start w:val="1"/>
        <w:numFmt w:val="bullet"/>
        <w:pStyle w:val="Elencocontinua"/>
        <w:lvlText w:val="·"/>
        <w:lvlJc w:val="left"/>
        <w:rPr>
          <w:rFonts w:ascii="Symbol" w:hAnsi="Symbol" w:cs="Symbol"/>
        </w:rPr>
      </w:lvl>
    </w:lvlOverride>
  </w:num>
  <w:num w:numId="31">
    <w:abstractNumId w:val="2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2">
    <w:abstractNumId w:val="0"/>
    <w:lvlOverride w:ilvl="0">
      <w:startOverride w:val="1"/>
      <w:lvl w:ilvl="0">
        <w:start w:val="1"/>
        <w:numFmt w:val="bullet"/>
        <w:pStyle w:val="Elencocontinua"/>
        <w:lvlText w:val="·"/>
        <w:lvlJc w:val="left"/>
        <w:rPr>
          <w:rFonts w:ascii="Symbol" w:hAnsi="Symbol" w:cs="Symbol"/>
        </w:rPr>
      </w:lvl>
    </w:lvlOverride>
  </w:num>
  <w:num w:numId="33">
    <w:abstractNumId w:val="40"/>
  </w:num>
  <w:num w:numId="34">
    <w:abstractNumId w:val="4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5">
    <w:abstractNumId w:val="14"/>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6">
    <w:abstractNumId w:val="1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7">
    <w:abstractNumId w:val="1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8">
    <w:abstractNumId w:val="17"/>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9">
    <w:abstractNumId w:val="18"/>
  </w:num>
  <w:num w:numId="40">
    <w:abstractNumId w:val="19"/>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41">
    <w:abstractNumId w:val="0"/>
    <w:lvlOverride w:ilvl="0">
      <w:startOverride w:val="1"/>
      <w:lvl w:ilvl="0">
        <w:start w:val="1"/>
        <w:numFmt w:val="bullet"/>
        <w:pStyle w:val="Elencocontinua"/>
        <w:lvlText w:val="·"/>
        <w:lvlJc w:val="left"/>
        <w:rPr>
          <w:rFonts w:ascii="Symbol" w:hAnsi="Symbol" w:cs="Symbol"/>
        </w:rPr>
      </w:lvl>
    </w:lvlOverride>
  </w:num>
  <w:num w:numId="42">
    <w:abstractNumId w:val="0"/>
    <w:lvlOverride w:ilvl="0">
      <w:startOverride w:val="1"/>
      <w:lvl w:ilvl="0">
        <w:start w:val="1"/>
        <w:numFmt w:val="bullet"/>
        <w:pStyle w:val="Elencocontinua"/>
        <w:lvlText w:val="·"/>
        <w:lvlJc w:val="left"/>
        <w:rPr>
          <w:rFonts w:ascii="Symbol" w:hAnsi="Symbol" w:cs="Symbol"/>
        </w:rPr>
      </w:lvl>
    </w:lvlOverride>
  </w:num>
  <w:num w:numId="43">
    <w:abstractNumId w:val="0"/>
    <w:lvlOverride w:ilvl="0">
      <w:startOverride w:val="1"/>
      <w:lvl w:ilvl="0">
        <w:start w:val="1"/>
        <w:numFmt w:val="bullet"/>
        <w:pStyle w:val="Elencocontinua"/>
        <w:lvlText w:val="·"/>
        <w:lvlJc w:val="left"/>
        <w:rPr>
          <w:rFonts w:ascii="Symbol" w:hAnsi="Symbol" w:cs="Symbol"/>
        </w:rPr>
      </w:lvl>
    </w:lvlOverride>
  </w:num>
  <w:num w:numId="44">
    <w:abstractNumId w:val="0"/>
    <w:lvlOverride w:ilvl="0">
      <w:startOverride w:val="1"/>
      <w:lvl w:ilvl="0">
        <w:start w:val="1"/>
        <w:numFmt w:val="bullet"/>
        <w:pStyle w:val="Elencocontinua"/>
        <w:lvlText w:val="·"/>
        <w:lvlJc w:val="left"/>
        <w:rPr>
          <w:rFonts w:ascii="Symbol" w:hAnsi="Symbol" w:cs="Symbol"/>
        </w:rPr>
      </w:lvl>
    </w:lvlOverride>
  </w:num>
  <w:num w:numId="45">
    <w:abstractNumId w:val="0"/>
    <w:lvlOverride w:ilvl="0">
      <w:startOverride w:val="1"/>
      <w:lvl w:ilvl="0">
        <w:start w:val="1"/>
        <w:numFmt w:val="bullet"/>
        <w:pStyle w:val="Elencocontinua"/>
        <w:lvlText w:val="·"/>
        <w:lvlJc w:val="left"/>
        <w:rPr>
          <w:rFonts w:ascii="Symbol" w:hAnsi="Symbol" w:cs="Symbol"/>
        </w:rPr>
      </w:lvl>
    </w:lvlOverride>
  </w:num>
  <w:num w:numId="46">
    <w:abstractNumId w:val="0"/>
    <w:lvlOverride w:ilvl="0">
      <w:startOverride w:val="1"/>
      <w:lvl w:ilvl="0">
        <w:start w:val="1"/>
        <w:numFmt w:val="bullet"/>
        <w:pStyle w:val="Elencocontinua"/>
        <w:lvlText w:val="·"/>
        <w:lvlJc w:val="left"/>
        <w:rPr>
          <w:rFonts w:ascii="Symbol" w:hAnsi="Symbol" w:cs="Symbol"/>
        </w:rPr>
      </w:lvl>
    </w:lvlOverride>
  </w:num>
  <w:num w:numId="47">
    <w:abstractNumId w:val="4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48">
    <w:abstractNumId w:val="4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49">
    <w:abstractNumId w:val="44"/>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0">
    <w:abstractNumId w:val="20"/>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1">
    <w:abstractNumId w:val="2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2">
    <w:abstractNumId w:val="0"/>
    <w:lvlOverride w:ilvl="0">
      <w:startOverride w:val="1"/>
      <w:lvl w:ilvl="0">
        <w:start w:val="1"/>
        <w:numFmt w:val="bullet"/>
        <w:pStyle w:val="Elencocontinua"/>
        <w:lvlText w:val="·"/>
        <w:lvlJc w:val="left"/>
        <w:rPr>
          <w:rFonts w:ascii="Symbol" w:hAnsi="Symbol" w:cs="Symbol"/>
        </w:rPr>
      </w:lvl>
    </w:lvlOverride>
  </w:num>
  <w:num w:numId="53">
    <w:abstractNumId w:val="0"/>
    <w:lvlOverride w:ilvl="0">
      <w:startOverride w:val="1"/>
      <w:lvl w:ilvl="0">
        <w:start w:val="1"/>
        <w:numFmt w:val="bullet"/>
        <w:pStyle w:val="Elencocontinua"/>
        <w:lvlText w:val="·"/>
        <w:lvlJc w:val="left"/>
        <w:rPr>
          <w:rFonts w:ascii="Symbol" w:hAnsi="Symbol" w:cs="Symbol"/>
        </w:rPr>
      </w:lvl>
    </w:lvlOverride>
  </w:num>
  <w:num w:numId="54">
    <w:abstractNumId w:val="27"/>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5">
    <w:abstractNumId w:val="6"/>
  </w:num>
  <w:num w:numId="56">
    <w:abstractNumId w:val="5"/>
  </w:num>
  <w:num w:numId="57">
    <w:abstractNumId w:val="30"/>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8">
    <w:abstractNumId w:val="3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9">
    <w:abstractNumId w:val="3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60">
    <w:abstractNumId w:val="29"/>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61">
    <w:abstractNumId w:val="2"/>
  </w:num>
  <w:num w:numId="62">
    <w:abstractNumId w:val="3"/>
  </w:num>
  <w:num w:numId="63">
    <w:abstractNumId w:val="4"/>
  </w:num>
  <w:num w:numId="64">
    <w:abstractNumId w:val="28"/>
  </w:num>
  <w:num w:numId="65">
    <w:abstractNumId w:val="2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66">
    <w:abstractNumId w:val="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activeWritingStyle w:appName="MSWord" w:lang="it-IT" w:vendorID="3" w:dllVersion="517" w:checkStyle="1"/>
  <w:activeWritingStyle w:appName="MSWord" w:lang="de-DE" w:vendorID="9" w:dllVersion="512" w:checkStyle="1"/>
  <w:activeWritingStyle w:appName="MSWord" w:lang="fr-FR" w:vendorID="9" w:dllVersion="512" w:checkStyle="1"/>
  <w:proofState w:spelling="clean"/>
  <w:stylePaneFormatFilter w:val="3001"/>
  <w:defaultTabStop w:val="709"/>
  <w:hyphenationZone w:val="283"/>
  <w:drawingGridHorizontalSpacing w:val="11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rsids>
    <w:rsidRoot w:val="005023B9"/>
    <w:rsid w:val="0000035D"/>
    <w:rsid w:val="00002269"/>
    <w:rsid w:val="00002E65"/>
    <w:rsid w:val="00003A77"/>
    <w:rsid w:val="000113B9"/>
    <w:rsid w:val="000116D6"/>
    <w:rsid w:val="00012A32"/>
    <w:rsid w:val="00013FD1"/>
    <w:rsid w:val="000158AE"/>
    <w:rsid w:val="00015F4B"/>
    <w:rsid w:val="00016717"/>
    <w:rsid w:val="000176E4"/>
    <w:rsid w:val="0002010E"/>
    <w:rsid w:val="0002093D"/>
    <w:rsid w:val="00022840"/>
    <w:rsid w:val="00022DB1"/>
    <w:rsid w:val="00022EF9"/>
    <w:rsid w:val="00023C9A"/>
    <w:rsid w:val="0002475C"/>
    <w:rsid w:val="0002541F"/>
    <w:rsid w:val="00025E7C"/>
    <w:rsid w:val="000261C9"/>
    <w:rsid w:val="000274D9"/>
    <w:rsid w:val="000279DA"/>
    <w:rsid w:val="000304EB"/>
    <w:rsid w:val="00030FC7"/>
    <w:rsid w:val="00031832"/>
    <w:rsid w:val="0003195A"/>
    <w:rsid w:val="00031D99"/>
    <w:rsid w:val="00031EBE"/>
    <w:rsid w:val="00032C1F"/>
    <w:rsid w:val="00033383"/>
    <w:rsid w:val="00033E35"/>
    <w:rsid w:val="0003657D"/>
    <w:rsid w:val="00040695"/>
    <w:rsid w:val="00041934"/>
    <w:rsid w:val="00042189"/>
    <w:rsid w:val="00042455"/>
    <w:rsid w:val="00042E4F"/>
    <w:rsid w:val="0004469B"/>
    <w:rsid w:val="00046BE5"/>
    <w:rsid w:val="00050077"/>
    <w:rsid w:val="00050E80"/>
    <w:rsid w:val="0005276D"/>
    <w:rsid w:val="00052C77"/>
    <w:rsid w:val="00055D47"/>
    <w:rsid w:val="00056054"/>
    <w:rsid w:val="000604A5"/>
    <w:rsid w:val="00061D81"/>
    <w:rsid w:val="0006233B"/>
    <w:rsid w:val="00062B01"/>
    <w:rsid w:val="000631E6"/>
    <w:rsid w:val="00063D4F"/>
    <w:rsid w:val="00064F24"/>
    <w:rsid w:val="00066F6F"/>
    <w:rsid w:val="00067DE7"/>
    <w:rsid w:val="00070100"/>
    <w:rsid w:val="00070EA1"/>
    <w:rsid w:val="00071343"/>
    <w:rsid w:val="00072544"/>
    <w:rsid w:val="0007271F"/>
    <w:rsid w:val="0007490D"/>
    <w:rsid w:val="000755CF"/>
    <w:rsid w:val="00075C35"/>
    <w:rsid w:val="00077FFB"/>
    <w:rsid w:val="000803F7"/>
    <w:rsid w:val="000834F5"/>
    <w:rsid w:val="00083E5F"/>
    <w:rsid w:val="00084638"/>
    <w:rsid w:val="000851F6"/>
    <w:rsid w:val="00085FEF"/>
    <w:rsid w:val="0008619B"/>
    <w:rsid w:val="00086BD9"/>
    <w:rsid w:val="00086D41"/>
    <w:rsid w:val="000900CA"/>
    <w:rsid w:val="0009126F"/>
    <w:rsid w:val="000915E9"/>
    <w:rsid w:val="00091A90"/>
    <w:rsid w:val="00091D6D"/>
    <w:rsid w:val="00091DA6"/>
    <w:rsid w:val="00091F52"/>
    <w:rsid w:val="00092F2E"/>
    <w:rsid w:val="0009421A"/>
    <w:rsid w:val="00095221"/>
    <w:rsid w:val="00095825"/>
    <w:rsid w:val="00095DBE"/>
    <w:rsid w:val="00096BB6"/>
    <w:rsid w:val="0009742E"/>
    <w:rsid w:val="00097A83"/>
    <w:rsid w:val="000A1CEE"/>
    <w:rsid w:val="000A3983"/>
    <w:rsid w:val="000A3EF9"/>
    <w:rsid w:val="000A4625"/>
    <w:rsid w:val="000A56A4"/>
    <w:rsid w:val="000A690A"/>
    <w:rsid w:val="000A77BB"/>
    <w:rsid w:val="000A7A06"/>
    <w:rsid w:val="000B0D9C"/>
    <w:rsid w:val="000B1EB5"/>
    <w:rsid w:val="000B21CF"/>
    <w:rsid w:val="000B69E8"/>
    <w:rsid w:val="000B70A3"/>
    <w:rsid w:val="000B779B"/>
    <w:rsid w:val="000C05FC"/>
    <w:rsid w:val="000C18A3"/>
    <w:rsid w:val="000C274F"/>
    <w:rsid w:val="000C3B3B"/>
    <w:rsid w:val="000C50F4"/>
    <w:rsid w:val="000C684A"/>
    <w:rsid w:val="000C6A1A"/>
    <w:rsid w:val="000C7A76"/>
    <w:rsid w:val="000C7DC5"/>
    <w:rsid w:val="000D042F"/>
    <w:rsid w:val="000D09A2"/>
    <w:rsid w:val="000D2660"/>
    <w:rsid w:val="000D2A8B"/>
    <w:rsid w:val="000D2D9E"/>
    <w:rsid w:val="000D3F30"/>
    <w:rsid w:val="000D4549"/>
    <w:rsid w:val="000D554C"/>
    <w:rsid w:val="000D5678"/>
    <w:rsid w:val="000D5E9D"/>
    <w:rsid w:val="000D6063"/>
    <w:rsid w:val="000D76A2"/>
    <w:rsid w:val="000E2387"/>
    <w:rsid w:val="000E4F33"/>
    <w:rsid w:val="000E59BA"/>
    <w:rsid w:val="000E5C46"/>
    <w:rsid w:val="000E68B4"/>
    <w:rsid w:val="000E703E"/>
    <w:rsid w:val="000E7AFF"/>
    <w:rsid w:val="000E7DBB"/>
    <w:rsid w:val="000F037D"/>
    <w:rsid w:val="000F0455"/>
    <w:rsid w:val="000F0A7A"/>
    <w:rsid w:val="000F0B41"/>
    <w:rsid w:val="000F0CC7"/>
    <w:rsid w:val="000F0F12"/>
    <w:rsid w:val="000F1EE7"/>
    <w:rsid w:val="000F3167"/>
    <w:rsid w:val="000F5B7C"/>
    <w:rsid w:val="000F76AF"/>
    <w:rsid w:val="000F7988"/>
    <w:rsid w:val="00100F61"/>
    <w:rsid w:val="001017FD"/>
    <w:rsid w:val="001021A9"/>
    <w:rsid w:val="001038FD"/>
    <w:rsid w:val="00104433"/>
    <w:rsid w:val="001066C1"/>
    <w:rsid w:val="00112881"/>
    <w:rsid w:val="001134F3"/>
    <w:rsid w:val="00117A3F"/>
    <w:rsid w:val="00120988"/>
    <w:rsid w:val="00121DCF"/>
    <w:rsid w:val="00123FD7"/>
    <w:rsid w:val="00124908"/>
    <w:rsid w:val="00125CD2"/>
    <w:rsid w:val="00126BE6"/>
    <w:rsid w:val="00131C52"/>
    <w:rsid w:val="00131CDC"/>
    <w:rsid w:val="00132828"/>
    <w:rsid w:val="00136CA5"/>
    <w:rsid w:val="00140C51"/>
    <w:rsid w:val="00140ECF"/>
    <w:rsid w:val="0014149F"/>
    <w:rsid w:val="00141F7B"/>
    <w:rsid w:val="0014247A"/>
    <w:rsid w:val="0015170C"/>
    <w:rsid w:val="0015438A"/>
    <w:rsid w:val="0015442D"/>
    <w:rsid w:val="00154C1E"/>
    <w:rsid w:val="00156719"/>
    <w:rsid w:val="00157F21"/>
    <w:rsid w:val="001663E6"/>
    <w:rsid w:val="00170772"/>
    <w:rsid w:val="0017330A"/>
    <w:rsid w:val="001745DD"/>
    <w:rsid w:val="0017574B"/>
    <w:rsid w:val="00177096"/>
    <w:rsid w:val="00181832"/>
    <w:rsid w:val="0018249A"/>
    <w:rsid w:val="00182A6D"/>
    <w:rsid w:val="00185BE0"/>
    <w:rsid w:val="00186F04"/>
    <w:rsid w:val="001872BC"/>
    <w:rsid w:val="0019174C"/>
    <w:rsid w:val="00191B45"/>
    <w:rsid w:val="001922F9"/>
    <w:rsid w:val="00193977"/>
    <w:rsid w:val="00194AD3"/>
    <w:rsid w:val="001950B3"/>
    <w:rsid w:val="00195A3A"/>
    <w:rsid w:val="00195D61"/>
    <w:rsid w:val="00196BE9"/>
    <w:rsid w:val="00197540"/>
    <w:rsid w:val="001A03CE"/>
    <w:rsid w:val="001A1A5D"/>
    <w:rsid w:val="001A62EC"/>
    <w:rsid w:val="001A6796"/>
    <w:rsid w:val="001A6BF2"/>
    <w:rsid w:val="001A6D4B"/>
    <w:rsid w:val="001B31D7"/>
    <w:rsid w:val="001B5DC9"/>
    <w:rsid w:val="001C07BD"/>
    <w:rsid w:val="001C36E7"/>
    <w:rsid w:val="001C4168"/>
    <w:rsid w:val="001C4810"/>
    <w:rsid w:val="001C4912"/>
    <w:rsid w:val="001C5DAC"/>
    <w:rsid w:val="001C65EA"/>
    <w:rsid w:val="001D1A42"/>
    <w:rsid w:val="001D4C77"/>
    <w:rsid w:val="001D54B3"/>
    <w:rsid w:val="001D7628"/>
    <w:rsid w:val="001D7A05"/>
    <w:rsid w:val="001E01D8"/>
    <w:rsid w:val="001E0379"/>
    <w:rsid w:val="001E06AE"/>
    <w:rsid w:val="001E1216"/>
    <w:rsid w:val="001E1E8C"/>
    <w:rsid w:val="001E2190"/>
    <w:rsid w:val="001E2540"/>
    <w:rsid w:val="001E2834"/>
    <w:rsid w:val="001E2CD9"/>
    <w:rsid w:val="001E3378"/>
    <w:rsid w:val="001E360C"/>
    <w:rsid w:val="001E63B6"/>
    <w:rsid w:val="001E7246"/>
    <w:rsid w:val="001F0F7C"/>
    <w:rsid w:val="001F3556"/>
    <w:rsid w:val="001F3F80"/>
    <w:rsid w:val="001F6E0D"/>
    <w:rsid w:val="001F6F58"/>
    <w:rsid w:val="001F7E81"/>
    <w:rsid w:val="002008FE"/>
    <w:rsid w:val="0020187A"/>
    <w:rsid w:val="00202559"/>
    <w:rsid w:val="00202E57"/>
    <w:rsid w:val="00203453"/>
    <w:rsid w:val="0020499F"/>
    <w:rsid w:val="0020577D"/>
    <w:rsid w:val="002067F4"/>
    <w:rsid w:val="00210A8B"/>
    <w:rsid w:val="002126C4"/>
    <w:rsid w:val="00213EBB"/>
    <w:rsid w:val="00214654"/>
    <w:rsid w:val="00215715"/>
    <w:rsid w:val="002164CA"/>
    <w:rsid w:val="00216BA9"/>
    <w:rsid w:val="002227A1"/>
    <w:rsid w:val="002234C8"/>
    <w:rsid w:val="00223F76"/>
    <w:rsid w:val="00224BFD"/>
    <w:rsid w:val="00227E85"/>
    <w:rsid w:val="00232222"/>
    <w:rsid w:val="002328D5"/>
    <w:rsid w:val="002339FB"/>
    <w:rsid w:val="00233D3F"/>
    <w:rsid w:val="00234E49"/>
    <w:rsid w:val="00234F0C"/>
    <w:rsid w:val="002361D6"/>
    <w:rsid w:val="00236BB0"/>
    <w:rsid w:val="00237373"/>
    <w:rsid w:val="002374C6"/>
    <w:rsid w:val="00240E3B"/>
    <w:rsid w:val="00241781"/>
    <w:rsid w:val="00241813"/>
    <w:rsid w:val="00242195"/>
    <w:rsid w:val="002433D1"/>
    <w:rsid w:val="00243817"/>
    <w:rsid w:val="00246A65"/>
    <w:rsid w:val="00246D3C"/>
    <w:rsid w:val="00246E6D"/>
    <w:rsid w:val="002476AE"/>
    <w:rsid w:val="0024775A"/>
    <w:rsid w:val="00250928"/>
    <w:rsid w:val="002513C1"/>
    <w:rsid w:val="00251402"/>
    <w:rsid w:val="00251E10"/>
    <w:rsid w:val="00252745"/>
    <w:rsid w:val="00252D29"/>
    <w:rsid w:val="00253DE2"/>
    <w:rsid w:val="002540D7"/>
    <w:rsid w:val="00254DEC"/>
    <w:rsid w:val="00256052"/>
    <w:rsid w:val="00256CC3"/>
    <w:rsid w:val="00257BD9"/>
    <w:rsid w:val="0026018F"/>
    <w:rsid w:val="00262A6C"/>
    <w:rsid w:val="0026360C"/>
    <w:rsid w:val="00263AB5"/>
    <w:rsid w:val="00263BF8"/>
    <w:rsid w:val="00265297"/>
    <w:rsid w:val="00266854"/>
    <w:rsid w:val="00266950"/>
    <w:rsid w:val="00271EDB"/>
    <w:rsid w:val="00272876"/>
    <w:rsid w:val="002734CB"/>
    <w:rsid w:val="00274419"/>
    <w:rsid w:val="00275430"/>
    <w:rsid w:val="002754B7"/>
    <w:rsid w:val="00275F64"/>
    <w:rsid w:val="00277612"/>
    <w:rsid w:val="00280FC4"/>
    <w:rsid w:val="002812F5"/>
    <w:rsid w:val="00281426"/>
    <w:rsid w:val="002818D1"/>
    <w:rsid w:val="00281CDA"/>
    <w:rsid w:val="00281DC1"/>
    <w:rsid w:val="002842A1"/>
    <w:rsid w:val="0028559A"/>
    <w:rsid w:val="002879AD"/>
    <w:rsid w:val="00290044"/>
    <w:rsid w:val="00291457"/>
    <w:rsid w:val="00292185"/>
    <w:rsid w:val="002931A4"/>
    <w:rsid w:val="00293EB8"/>
    <w:rsid w:val="0029443B"/>
    <w:rsid w:val="0029597F"/>
    <w:rsid w:val="00295DA8"/>
    <w:rsid w:val="00295F6D"/>
    <w:rsid w:val="00296D12"/>
    <w:rsid w:val="00296E68"/>
    <w:rsid w:val="00297230"/>
    <w:rsid w:val="0029751D"/>
    <w:rsid w:val="002A07C4"/>
    <w:rsid w:val="002A0F56"/>
    <w:rsid w:val="002A3C83"/>
    <w:rsid w:val="002A4193"/>
    <w:rsid w:val="002A6CFE"/>
    <w:rsid w:val="002B09B2"/>
    <w:rsid w:val="002B1A4A"/>
    <w:rsid w:val="002B1BD6"/>
    <w:rsid w:val="002B292A"/>
    <w:rsid w:val="002C0054"/>
    <w:rsid w:val="002C16EF"/>
    <w:rsid w:val="002C1ED1"/>
    <w:rsid w:val="002C3108"/>
    <w:rsid w:val="002C3269"/>
    <w:rsid w:val="002C3346"/>
    <w:rsid w:val="002C3D1E"/>
    <w:rsid w:val="002C3FE6"/>
    <w:rsid w:val="002C5A8C"/>
    <w:rsid w:val="002C7266"/>
    <w:rsid w:val="002C7443"/>
    <w:rsid w:val="002D0416"/>
    <w:rsid w:val="002D0427"/>
    <w:rsid w:val="002D0A48"/>
    <w:rsid w:val="002D3485"/>
    <w:rsid w:val="002D488D"/>
    <w:rsid w:val="002D59CB"/>
    <w:rsid w:val="002D61F0"/>
    <w:rsid w:val="002D6BDB"/>
    <w:rsid w:val="002D7327"/>
    <w:rsid w:val="002E012C"/>
    <w:rsid w:val="002E0214"/>
    <w:rsid w:val="002E4F73"/>
    <w:rsid w:val="002E4FD6"/>
    <w:rsid w:val="002E5471"/>
    <w:rsid w:val="002E63A5"/>
    <w:rsid w:val="002E66F9"/>
    <w:rsid w:val="002F0601"/>
    <w:rsid w:val="002F23F5"/>
    <w:rsid w:val="002F26AB"/>
    <w:rsid w:val="002F376D"/>
    <w:rsid w:val="002F453E"/>
    <w:rsid w:val="002F5573"/>
    <w:rsid w:val="002F62ED"/>
    <w:rsid w:val="00300297"/>
    <w:rsid w:val="00302DD5"/>
    <w:rsid w:val="0030306C"/>
    <w:rsid w:val="0030327C"/>
    <w:rsid w:val="0030417C"/>
    <w:rsid w:val="00305E2C"/>
    <w:rsid w:val="00306158"/>
    <w:rsid w:val="0030634E"/>
    <w:rsid w:val="00306879"/>
    <w:rsid w:val="00307579"/>
    <w:rsid w:val="003079A0"/>
    <w:rsid w:val="00307FBA"/>
    <w:rsid w:val="003100B6"/>
    <w:rsid w:val="00311AC9"/>
    <w:rsid w:val="00314634"/>
    <w:rsid w:val="003164D9"/>
    <w:rsid w:val="00322701"/>
    <w:rsid w:val="00323304"/>
    <w:rsid w:val="003246F9"/>
    <w:rsid w:val="0032556E"/>
    <w:rsid w:val="0033058D"/>
    <w:rsid w:val="00331547"/>
    <w:rsid w:val="00334065"/>
    <w:rsid w:val="0033437F"/>
    <w:rsid w:val="003358CB"/>
    <w:rsid w:val="00336979"/>
    <w:rsid w:val="00337F84"/>
    <w:rsid w:val="00340EF1"/>
    <w:rsid w:val="00341F85"/>
    <w:rsid w:val="00343D03"/>
    <w:rsid w:val="00343E1A"/>
    <w:rsid w:val="00347C7D"/>
    <w:rsid w:val="00347F52"/>
    <w:rsid w:val="003501D9"/>
    <w:rsid w:val="00350F8C"/>
    <w:rsid w:val="00350FBF"/>
    <w:rsid w:val="00351B5D"/>
    <w:rsid w:val="00353365"/>
    <w:rsid w:val="00355572"/>
    <w:rsid w:val="003557D9"/>
    <w:rsid w:val="00356ED9"/>
    <w:rsid w:val="003575ED"/>
    <w:rsid w:val="003610B8"/>
    <w:rsid w:val="00362A4D"/>
    <w:rsid w:val="00362AB9"/>
    <w:rsid w:val="00362AC3"/>
    <w:rsid w:val="0036431C"/>
    <w:rsid w:val="003646B9"/>
    <w:rsid w:val="00365584"/>
    <w:rsid w:val="00371265"/>
    <w:rsid w:val="0037260D"/>
    <w:rsid w:val="00374373"/>
    <w:rsid w:val="00374E50"/>
    <w:rsid w:val="00375280"/>
    <w:rsid w:val="00375AA1"/>
    <w:rsid w:val="00380024"/>
    <w:rsid w:val="00381831"/>
    <w:rsid w:val="00381F28"/>
    <w:rsid w:val="00382083"/>
    <w:rsid w:val="0038236D"/>
    <w:rsid w:val="00382A3D"/>
    <w:rsid w:val="00382CD4"/>
    <w:rsid w:val="003838D8"/>
    <w:rsid w:val="00386E1E"/>
    <w:rsid w:val="00390398"/>
    <w:rsid w:val="003907BF"/>
    <w:rsid w:val="00392DFE"/>
    <w:rsid w:val="00392FAC"/>
    <w:rsid w:val="0039386C"/>
    <w:rsid w:val="00395607"/>
    <w:rsid w:val="0039566F"/>
    <w:rsid w:val="00395ABA"/>
    <w:rsid w:val="00395EEC"/>
    <w:rsid w:val="00396F95"/>
    <w:rsid w:val="00397ACB"/>
    <w:rsid w:val="00397BE4"/>
    <w:rsid w:val="003A07FB"/>
    <w:rsid w:val="003A3590"/>
    <w:rsid w:val="003A3608"/>
    <w:rsid w:val="003A5192"/>
    <w:rsid w:val="003A66F0"/>
    <w:rsid w:val="003A686F"/>
    <w:rsid w:val="003A6EF8"/>
    <w:rsid w:val="003A72D1"/>
    <w:rsid w:val="003A73F5"/>
    <w:rsid w:val="003B045E"/>
    <w:rsid w:val="003B21AB"/>
    <w:rsid w:val="003B3050"/>
    <w:rsid w:val="003B550A"/>
    <w:rsid w:val="003B6A4B"/>
    <w:rsid w:val="003B73B4"/>
    <w:rsid w:val="003B76A5"/>
    <w:rsid w:val="003B7779"/>
    <w:rsid w:val="003C030E"/>
    <w:rsid w:val="003C1D19"/>
    <w:rsid w:val="003C2F7E"/>
    <w:rsid w:val="003C30F6"/>
    <w:rsid w:val="003D1112"/>
    <w:rsid w:val="003D1FEB"/>
    <w:rsid w:val="003D2C84"/>
    <w:rsid w:val="003E112B"/>
    <w:rsid w:val="003E244C"/>
    <w:rsid w:val="003E40C7"/>
    <w:rsid w:val="003E48E8"/>
    <w:rsid w:val="003E6FE0"/>
    <w:rsid w:val="003E7462"/>
    <w:rsid w:val="003F3941"/>
    <w:rsid w:val="003F3B06"/>
    <w:rsid w:val="003F3F0B"/>
    <w:rsid w:val="003F4252"/>
    <w:rsid w:val="003F49B7"/>
    <w:rsid w:val="003F530A"/>
    <w:rsid w:val="003F5DF5"/>
    <w:rsid w:val="003F5FB5"/>
    <w:rsid w:val="003F657C"/>
    <w:rsid w:val="003F71B3"/>
    <w:rsid w:val="003F7366"/>
    <w:rsid w:val="0040027F"/>
    <w:rsid w:val="00401496"/>
    <w:rsid w:val="0040445E"/>
    <w:rsid w:val="00404694"/>
    <w:rsid w:val="004046AC"/>
    <w:rsid w:val="00404ABA"/>
    <w:rsid w:val="00404BB0"/>
    <w:rsid w:val="00404F0F"/>
    <w:rsid w:val="004057A2"/>
    <w:rsid w:val="004111EA"/>
    <w:rsid w:val="0041256C"/>
    <w:rsid w:val="0041324D"/>
    <w:rsid w:val="00415D80"/>
    <w:rsid w:val="004168D3"/>
    <w:rsid w:val="00416F39"/>
    <w:rsid w:val="00417568"/>
    <w:rsid w:val="0041758C"/>
    <w:rsid w:val="00417733"/>
    <w:rsid w:val="004179DC"/>
    <w:rsid w:val="00420C27"/>
    <w:rsid w:val="00420EE4"/>
    <w:rsid w:val="0042222C"/>
    <w:rsid w:val="004228E0"/>
    <w:rsid w:val="004234DC"/>
    <w:rsid w:val="0042412C"/>
    <w:rsid w:val="00424C17"/>
    <w:rsid w:val="00425062"/>
    <w:rsid w:val="004270A1"/>
    <w:rsid w:val="00427EA7"/>
    <w:rsid w:val="00433557"/>
    <w:rsid w:val="004337E6"/>
    <w:rsid w:val="004351BB"/>
    <w:rsid w:val="004368AC"/>
    <w:rsid w:val="004373E1"/>
    <w:rsid w:val="00440838"/>
    <w:rsid w:val="00440C25"/>
    <w:rsid w:val="00440E49"/>
    <w:rsid w:val="004418AD"/>
    <w:rsid w:val="004418C8"/>
    <w:rsid w:val="00443B1F"/>
    <w:rsid w:val="004447BF"/>
    <w:rsid w:val="00446436"/>
    <w:rsid w:val="00446BEF"/>
    <w:rsid w:val="00447A1C"/>
    <w:rsid w:val="00452431"/>
    <w:rsid w:val="00452D9C"/>
    <w:rsid w:val="00453DAC"/>
    <w:rsid w:val="00455DA3"/>
    <w:rsid w:val="00456940"/>
    <w:rsid w:val="00457208"/>
    <w:rsid w:val="00457373"/>
    <w:rsid w:val="0045754A"/>
    <w:rsid w:val="00457790"/>
    <w:rsid w:val="00463ED6"/>
    <w:rsid w:val="00465805"/>
    <w:rsid w:val="004660F4"/>
    <w:rsid w:val="004667A8"/>
    <w:rsid w:val="00466DF5"/>
    <w:rsid w:val="00467563"/>
    <w:rsid w:val="004703F8"/>
    <w:rsid w:val="00470F57"/>
    <w:rsid w:val="00471415"/>
    <w:rsid w:val="00475880"/>
    <w:rsid w:val="00475A8A"/>
    <w:rsid w:val="0047662D"/>
    <w:rsid w:val="004769E4"/>
    <w:rsid w:val="004772D2"/>
    <w:rsid w:val="004829F1"/>
    <w:rsid w:val="004834E6"/>
    <w:rsid w:val="00484261"/>
    <w:rsid w:val="00484DB6"/>
    <w:rsid w:val="0048563E"/>
    <w:rsid w:val="004857BD"/>
    <w:rsid w:val="00486F43"/>
    <w:rsid w:val="00487299"/>
    <w:rsid w:val="00487B88"/>
    <w:rsid w:val="0049201A"/>
    <w:rsid w:val="004954A0"/>
    <w:rsid w:val="004965BA"/>
    <w:rsid w:val="0049752D"/>
    <w:rsid w:val="0049762E"/>
    <w:rsid w:val="00497C17"/>
    <w:rsid w:val="004A1763"/>
    <w:rsid w:val="004A2444"/>
    <w:rsid w:val="004A2CE4"/>
    <w:rsid w:val="004A4A42"/>
    <w:rsid w:val="004A51BD"/>
    <w:rsid w:val="004B05B1"/>
    <w:rsid w:val="004B2DAB"/>
    <w:rsid w:val="004B6286"/>
    <w:rsid w:val="004C00F8"/>
    <w:rsid w:val="004C07F4"/>
    <w:rsid w:val="004C12B2"/>
    <w:rsid w:val="004C3B94"/>
    <w:rsid w:val="004C49B1"/>
    <w:rsid w:val="004C4A5A"/>
    <w:rsid w:val="004C5BF4"/>
    <w:rsid w:val="004C6CA6"/>
    <w:rsid w:val="004D02D6"/>
    <w:rsid w:val="004D04B1"/>
    <w:rsid w:val="004D09F9"/>
    <w:rsid w:val="004D0A6B"/>
    <w:rsid w:val="004D0E49"/>
    <w:rsid w:val="004D366C"/>
    <w:rsid w:val="004E2EB1"/>
    <w:rsid w:val="004E4503"/>
    <w:rsid w:val="004F18A0"/>
    <w:rsid w:val="004F1A6C"/>
    <w:rsid w:val="004F2E7A"/>
    <w:rsid w:val="004F6713"/>
    <w:rsid w:val="004F76AB"/>
    <w:rsid w:val="005019D0"/>
    <w:rsid w:val="005023B9"/>
    <w:rsid w:val="005024AB"/>
    <w:rsid w:val="00502950"/>
    <w:rsid w:val="005032C4"/>
    <w:rsid w:val="005045EA"/>
    <w:rsid w:val="00510EC4"/>
    <w:rsid w:val="00513CC8"/>
    <w:rsid w:val="005169A3"/>
    <w:rsid w:val="00517E8C"/>
    <w:rsid w:val="00520429"/>
    <w:rsid w:val="005213CD"/>
    <w:rsid w:val="00521527"/>
    <w:rsid w:val="0052170B"/>
    <w:rsid w:val="00525862"/>
    <w:rsid w:val="005262BA"/>
    <w:rsid w:val="00526515"/>
    <w:rsid w:val="00526B21"/>
    <w:rsid w:val="005273DE"/>
    <w:rsid w:val="00527D35"/>
    <w:rsid w:val="00530773"/>
    <w:rsid w:val="00532BD5"/>
    <w:rsid w:val="00533B3D"/>
    <w:rsid w:val="0053412B"/>
    <w:rsid w:val="005351B3"/>
    <w:rsid w:val="00535625"/>
    <w:rsid w:val="00535879"/>
    <w:rsid w:val="00537902"/>
    <w:rsid w:val="00537EBC"/>
    <w:rsid w:val="005405A0"/>
    <w:rsid w:val="00542E27"/>
    <w:rsid w:val="00543F61"/>
    <w:rsid w:val="005453CD"/>
    <w:rsid w:val="00545D45"/>
    <w:rsid w:val="00545FFF"/>
    <w:rsid w:val="00546584"/>
    <w:rsid w:val="00547F11"/>
    <w:rsid w:val="0055157F"/>
    <w:rsid w:val="00551DE2"/>
    <w:rsid w:val="00552B30"/>
    <w:rsid w:val="00553B85"/>
    <w:rsid w:val="00560371"/>
    <w:rsid w:val="00561114"/>
    <w:rsid w:val="005628C0"/>
    <w:rsid w:val="00562DF7"/>
    <w:rsid w:val="00562E7B"/>
    <w:rsid w:val="00564AEF"/>
    <w:rsid w:val="0056576E"/>
    <w:rsid w:val="005661CD"/>
    <w:rsid w:val="00567E76"/>
    <w:rsid w:val="00571163"/>
    <w:rsid w:val="005714AB"/>
    <w:rsid w:val="00572D1D"/>
    <w:rsid w:val="00572E10"/>
    <w:rsid w:val="005735AD"/>
    <w:rsid w:val="00575AEF"/>
    <w:rsid w:val="00576000"/>
    <w:rsid w:val="00576396"/>
    <w:rsid w:val="00580A14"/>
    <w:rsid w:val="00580E36"/>
    <w:rsid w:val="00581E98"/>
    <w:rsid w:val="00582681"/>
    <w:rsid w:val="005836B7"/>
    <w:rsid w:val="005842A4"/>
    <w:rsid w:val="00591B4E"/>
    <w:rsid w:val="0059272E"/>
    <w:rsid w:val="00592B4E"/>
    <w:rsid w:val="00593AC4"/>
    <w:rsid w:val="00594C7A"/>
    <w:rsid w:val="00597CBD"/>
    <w:rsid w:val="005A0F3F"/>
    <w:rsid w:val="005A1608"/>
    <w:rsid w:val="005A1816"/>
    <w:rsid w:val="005A1DE9"/>
    <w:rsid w:val="005A2FF1"/>
    <w:rsid w:val="005A333A"/>
    <w:rsid w:val="005A3722"/>
    <w:rsid w:val="005A3C3C"/>
    <w:rsid w:val="005A4377"/>
    <w:rsid w:val="005A548D"/>
    <w:rsid w:val="005A591F"/>
    <w:rsid w:val="005A7FA3"/>
    <w:rsid w:val="005B0414"/>
    <w:rsid w:val="005B135A"/>
    <w:rsid w:val="005B2571"/>
    <w:rsid w:val="005B34D7"/>
    <w:rsid w:val="005B3C3A"/>
    <w:rsid w:val="005B4539"/>
    <w:rsid w:val="005B4E77"/>
    <w:rsid w:val="005B5268"/>
    <w:rsid w:val="005B69F2"/>
    <w:rsid w:val="005B6DB7"/>
    <w:rsid w:val="005B77B3"/>
    <w:rsid w:val="005C069F"/>
    <w:rsid w:val="005C0E39"/>
    <w:rsid w:val="005C23F2"/>
    <w:rsid w:val="005C3124"/>
    <w:rsid w:val="005C3743"/>
    <w:rsid w:val="005C52BF"/>
    <w:rsid w:val="005C71AC"/>
    <w:rsid w:val="005C7A75"/>
    <w:rsid w:val="005D0400"/>
    <w:rsid w:val="005D0AF8"/>
    <w:rsid w:val="005D1472"/>
    <w:rsid w:val="005D1837"/>
    <w:rsid w:val="005D1FBA"/>
    <w:rsid w:val="005D225F"/>
    <w:rsid w:val="005D29DC"/>
    <w:rsid w:val="005D3EC7"/>
    <w:rsid w:val="005D533E"/>
    <w:rsid w:val="005D73C9"/>
    <w:rsid w:val="005E1D99"/>
    <w:rsid w:val="005E1FC6"/>
    <w:rsid w:val="005E390D"/>
    <w:rsid w:val="005E3C55"/>
    <w:rsid w:val="005E48C9"/>
    <w:rsid w:val="005E48F8"/>
    <w:rsid w:val="005E51F6"/>
    <w:rsid w:val="005E55FB"/>
    <w:rsid w:val="005F1C43"/>
    <w:rsid w:val="005F2C83"/>
    <w:rsid w:val="005F30D7"/>
    <w:rsid w:val="005F32DF"/>
    <w:rsid w:val="005F3F15"/>
    <w:rsid w:val="005F4083"/>
    <w:rsid w:val="005F52F2"/>
    <w:rsid w:val="005F586B"/>
    <w:rsid w:val="005F5BAF"/>
    <w:rsid w:val="005F73F4"/>
    <w:rsid w:val="005F7C0F"/>
    <w:rsid w:val="005F7D57"/>
    <w:rsid w:val="006008D1"/>
    <w:rsid w:val="00601249"/>
    <w:rsid w:val="00602473"/>
    <w:rsid w:val="0060358E"/>
    <w:rsid w:val="00605E25"/>
    <w:rsid w:val="00605EFE"/>
    <w:rsid w:val="00605F1D"/>
    <w:rsid w:val="006065F4"/>
    <w:rsid w:val="00607FB8"/>
    <w:rsid w:val="0061186F"/>
    <w:rsid w:val="00611B7A"/>
    <w:rsid w:val="006129E5"/>
    <w:rsid w:val="00613E92"/>
    <w:rsid w:val="006162DF"/>
    <w:rsid w:val="0061653D"/>
    <w:rsid w:val="006168C8"/>
    <w:rsid w:val="0061793D"/>
    <w:rsid w:val="00617B83"/>
    <w:rsid w:val="00620F4D"/>
    <w:rsid w:val="00621B31"/>
    <w:rsid w:val="006221D8"/>
    <w:rsid w:val="00622FD7"/>
    <w:rsid w:val="00623B80"/>
    <w:rsid w:val="0062433A"/>
    <w:rsid w:val="00626B17"/>
    <w:rsid w:val="00626D2D"/>
    <w:rsid w:val="00627DDA"/>
    <w:rsid w:val="00630C16"/>
    <w:rsid w:val="00630F7E"/>
    <w:rsid w:val="006316E7"/>
    <w:rsid w:val="00631E6A"/>
    <w:rsid w:val="00631F5D"/>
    <w:rsid w:val="00632C23"/>
    <w:rsid w:val="00633CB3"/>
    <w:rsid w:val="00633E89"/>
    <w:rsid w:val="006346BC"/>
    <w:rsid w:val="00634D4E"/>
    <w:rsid w:val="0063664B"/>
    <w:rsid w:val="006377E4"/>
    <w:rsid w:val="00641A7E"/>
    <w:rsid w:val="00641E3E"/>
    <w:rsid w:val="00642C0F"/>
    <w:rsid w:val="00642D90"/>
    <w:rsid w:val="0064502A"/>
    <w:rsid w:val="00651382"/>
    <w:rsid w:val="0065166E"/>
    <w:rsid w:val="0065189C"/>
    <w:rsid w:val="006522D3"/>
    <w:rsid w:val="00652685"/>
    <w:rsid w:val="00652D11"/>
    <w:rsid w:val="006544FE"/>
    <w:rsid w:val="00656DF7"/>
    <w:rsid w:val="006604E7"/>
    <w:rsid w:val="00660552"/>
    <w:rsid w:val="00661640"/>
    <w:rsid w:val="006635A8"/>
    <w:rsid w:val="00663636"/>
    <w:rsid w:val="0066699B"/>
    <w:rsid w:val="0066709F"/>
    <w:rsid w:val="00667110"/>
    <w:rsid w:val="006677D0"/>
    <w:rsid w:val="00667DF8"/>
    <w:rsid w:val="00667EE3"/>
    <w:rsid w:val="0067062A"/>
    <w:rsid w:val="00673141"/>
    <w:rsid w:val="00673A75"/>
    <w:rsid w:val="00673E8B"/>
    <w:rsid w:val="0067476E"/>
    <w:rsid w:val="00674F1A"/>
    <w:rsid w:val="0067554B"/>
    <w:rsid w:val="00675D5B"/>
    <w:rsid w:val="00677404"/>
    <w:rsid w:val="00677B05"/>
    <w:rsid w:val="00677DBD"/>
    <w:rsid w:val="00680102"/>
    <w:rsid w:val="00680C2D"/>
    <w:rsid w:val="00683E8A"/>
    <w:rsid w:val="00684DCC"/>
    <w:rsid w:val="00685CDF"/>
    <w:rsid w:val="00691C10"/>
    <w:rsid w:val="00692359"/>
    <w:rsid w:val="00695D7E"/>
    <w:rsid w:val="0069611A"/>
    <w:rsid w:val="00697DD1"/>
    <w:rsid w:val="006A007C"/>
    <w:rsid w:val="006A0346"/>
    <w:rsid w:val="006A077A"/>
    <w:rsid w:val="006A3F72"/>
    <w:rsid w:val="006A53E2"/>
    <w:rsid w:val="006A76C4"/>
    <w:rsid w:val="006A78B2"/>
    <w:rsid w:val="006B1F1D"/>
    <w:rsid w:val="006B46F4"/>
    <w:rsid w:val="006B4DF1"/>
    <w:rsid w:val="006C001E"/>
    <w:rsid w:val="006C077E"/>
    <w:rsid w:val="006C0E9F"/>
    <w:rsid w:val="006C1809"/>
    <w:rsid w:val="006C197B"/>
    <w:rsid w:val="006C1A3F"/>
    <w:rsid w:val="006C1B1B"/>
    <w:rsid w:val="006C291B"/>
    <w:rsid w:val="006C3C9F"/>
    <w:rsid w:val="006C682B"/>
    <w:rsid w:val="006C7165"/>
    <w:rsid w:val="006D024F"/>
    <w:rsid w:val="006D204A"/>
    <w:rsid w:val="006D2F88"/>
    <w:rsid w:val="006D33BE"/>
    <w:rsid w:val="006D6964"/>
    <w:rsid w:val="006D703C"/>
    <w:rsid w:val="006E0E96"/>
    <w:rsid w:val="006E227E"/>
    <w:rsid w:val="006E3D70"/>
    <w:rsid w:val="006E7119"/>
    <w:rsid w:val="006E7627"/>
    <w:rsid w:val="006F26F2"/>
    <w:rsid w:val="006F6D00"/>
    <w:rsid w:val="006F724C"/>
    <w:rsid w:val="007014A8"/>
    <w:rsid w:val="00702258"/>
    <w:rsid w:val="0070480B"/>
    <w:rsid w:val="00705900"/>
    <w:rsid w:val="0071111B"/>
    <w:rsid w:val="00712AF3"/>
    <w:rsid w:val="007143F7"/>
    <w:rsid w:val="00715D20"/>
    <w:rsid w:val="007176F2"/>
    <w:rsid w:val="00717715"/>
    <w:rsid w:val="00717771"/>
    <w:rsid w:val="00717DF2"/>
    <w:rsid w:val="00720787"/>
    <w:rsid w:val="00721043"/>
    <w:rsid w:val="00721C6E"/>
    <w:rsid w:val="00722D94"/>
    <w:rsid w:val="0072343B"/>
    <w:rsid w:val="007235AB"/>
    <w:rsid w:val="0072773F"/>
    <w:rsid w:val="0073006E"/>
    <w:rsid w:val="00732001"/>
    <w:rsid w:val="007326DD"/>
    <w:rsid w:val="00734F99"/>
    <w:rsid w:val="00735020"/>
    <w:rsid w:val="00735553"/>
    <w:rsid w:val="007372D2"/>
    <w:rsid w:val="00737A54"/>
    <w:rsid w:val="00740A80"/>
    <w:rsid w:val="00740D56"/>
    <w:rsid w:val="00741CE1"/>
    <w:rsid w:val="00742076"/>
    <w:rsid w:val="007443C7"/>
    <w:rsid w:val="007445B8"/>
    <w:rsid w:val="0074467C"/>
    <w:rsid w:val="00745770"/>
    <w:rsid w:val="00747F03"/>
    <w:rsid w:val="007518AC"/>
    <w:rsid w:val="007527C6"/>
    <w:rsid w:val="00753EAE"/>
    <w:rsid w:val="00753F39"/>
    <w:rsid w:val="0075524F"/>
    <w:rsid w:val="00755D88"/>
    <w:rsid w:val="00756191"/>
    <w:rsid w:val="00756942"/>
    <w:rsid w:val="00760025"/>
    <w:rsid w:val="00760433"/>
    <w:rsid w:val="00760795"/>
    <w:rsid w:val="00762EC8"/>
    <w:rsid w:val="00764B3E"/>
    <w:rsid w:val="0076591D"/>
    <w:rsid w:val="0076685A"/>
    <w:rsid w:val="0076752F"/>
    <w:rsid w:val="00771A30"/>
    <w:rsid w:val="00771B62"/>
    <w:rsid w:val="007725E5"/>
    <w:rsid w:val="007737D3"/>
    <w:rsid w:val="00773DE9"/>
    <w:rsid w:val="00777780"/>
    <w:rsid w:val="007828E7"/>
    <w:rsid w:val="00782D96"/>
    <w:rsid w:val="00783425"/>
    <w:rsid w:val="00783BB0"/>
    <w:rsid w:val="00784BF4"/>
    <w:rsid w:val="00785D14"/>
    <w:rsid w:val="007862D2"/>
    <w:rsid w:val="00790CD8"/>
    <w:rsid w:val="00791780"/>
    <w:rsid w:val="007924CF"/>
    <w:rsid w:val="00792557"/>
    <w:rsid w:val="007939EB"/>
    <w:rsid w:val="00793BAF"/>
    <w:rsid w:val="00794DC4"/>
    <w:rsid w:val="00794F2A"/>
    <w:rsid w:val="00795999"/>
    <w:rsid w:val="00796C50"/>
    <w:rsid w:val="00796EAF"/>
    <w:rsid w:val="0079747A"/>
    <w:rsid w:val="00797DB8"/>
    <w:rsid w:val="007A5941"/>
    <w:rsid w:val="007A64BB"/>
    <w:rsid w:val="007A6C2F"/>
    <w:rsid w:val="007A74D1"/>
    <w:rsid w:val="007B02C6"/>
    <w:rsid w:val="007B2B90"/>
    <w:rsid w:val="007B52D3"/>
    <w:rsid w:val="007B5965"/>
    <w:rsid w:val="007B689C"/>
    <w:rsid w:val="007B6B5F"/>
    <w:rsid w:val="007B7716"/>
    <w:rsid w:val="007C13CF"/>
    <w:rsid w:val="007C1949"/>
    <w:rsid w:val="007C2F0F"/>
    <w:rsid w:val="007C4B50"/>
    <w:rsid w:val="007C5077"/>
    <w:rsid w:val="007C51A7"/>
    <w:rsid w:val="007C56F9"/>
    <w:rsid w:val="007C5EED"/>
    <w:rsid w:val="007C6BF0"/>
    <w:rsid w:val="007C783A"/>
    <w:rsid w:val="007D0D7F"/>
    <w:rsid w:val="007D1C04"/>
    <w:rsid w:val="007D2894"/>
    <w:rsid w:val="007D58B0"/>
    <w:rsid w:val="007D5E1C"/>
    <w:rsid w:val="007E0453"/>
    <w:rsid w:val="007E130E"/>
    <w:rsid w:val="007E41D9"/>
    <w:rsid w:val="007F03B4"/>
    <w:rsid w:val="007F1664"/>
    <w:rsid w:val="007F3003"/>
    <w:rsid w:val="007F3291"/>
    <w:rsid w:val="007F3837"/>
    <w:rsid w:val="007F417F"/>
    <w:rsid w:val="007F4F31"/>
    <w:rsid w:val="007F729D"/>
    <w:rsid w:val="007F72DF"/>
    <w:rsid w:val="0080124D"/>
    <w:rsid w:val="008018D9"/>
    <w:rsid w:val="008035BF"/>
    <w:rsid w:val="00803773"/>
    <w:rsid w:val="00806730"/>
    <w:rsid w:val="008124BC"/>
    <w:rsid w:val="00812836"/>
    <w:rsid w:val="008145D1"/>
    <w:rsid w:val="008150BE"/>
    <w:rsid w:val="0081660F"/>
    <w:rsid w:val="00817F40"/>
    <w:rsid w:val="008202E6"/>
    <w:rsid w:val="00820BD5"/>
    <w:rsid w:val="00820D74"/>
    <w:rsid w:val="00820F81"/>
    <w:rsid w:val="00821E61"/>
    <w:rsid w:val="00822128"/>
    <w:rsid w:val="0082367F"/>
    <w:rsid w:val="0082543A"/>
    <w:rsid w:val="00826130"/>
    <w:rsid w:val="0082671E"/>
    <w:rsid w:val="00826813"/>
    <w:rsid w:val="00827FCF"/>
    <w:rsid w:val="00834808"/>
    <w:rsid w:val="00834A55"/>
    <w:rsid w:val="008355AE"/>
    <w:rsid w:val="008359DF"/>
    <w:rsid w:val="00835AED"/>
    <w:rsid w:val="008374F6"/>
    <w:rsid w:val="00837701"/>
    <w:rsid w:val="00837AC8"/>
    <w:rsid w:val="00840DD6"/>
    <w:rsid w:val="00842C2A"/>
    <w:rsid w:val="00843B4E"/>
    <w:rsid w:val="00845E8C"/>
    <w:rsid w:val="00847326"/>
    <w:rsid w:val="008475A6"/>
    <w:rsid w:val="00851001"/>
    <w:rsid w:val="00851516"/>
    <w:rsid w:val="00851E23"/>
    <w:rsid w:val="008530DD"/>
    <w:rsid w:val="00853C4F"/>
    <w:rsid w:val="0085406F"/>
    <w:rsid w:val="008550BA"/>
    <w:rsid w:val="00855231"/>
    <w:rsid w:val="00855E68"/>
    <w:rsid w:val="00856329"/>
    <w:rsid w:val="0085686F"/>
    <w:rsid w:val="00856C33"/>
    <w:rsid w:val="00857DEC"/>
    <w:rsid w:val="008605F5"/>
    <w:rsid w:val="00860B5C"/>
    <w:rsid w:val="00862172"/>
    <w:rsid w:val="008627CC"/>
    <w:rsid w:val="00862944"/>
    <w:rsid w:val="00862A90"/>
    <w:rsid w:val="008640C0"/>
    <w:rsid w:val="0086447E"/>
    <w:rsid w:val="008648EB"/>
    <w:rsid w:val="00865C4B"/>
    <w:rsid w:val="0086624E"/>
    <w:rsid w:val="00867946"/>
    <w:rsid w:val="00876C67"/>
    <w:rsid w:val="00880A19"/>
    <w:rsid w:val="00880E86"/>
    <w:rsid w:val="00883838"/>
    <w:rsid w:val="00883BBE"/>
    <w:rsid w:val="0088572D"/>
    <w:rsid w:val="008857F4"/>
    <w:rsid w:val="00887D42"/>
    <w:rsid w:val="00887F4F"/>
    <w:rsid w:val="0089146A"/>
    <w:rsid w:val="00891D2A"/>
    <w:rsid w:val="0089355E"/>
    <w:rsid w:val="008946B3"/>
    <w:rsid w:val="00895718"/>
    <w:rsid w:val="008970B9"/>
    <w:rsid w:val="00897AE7"/>
    <w:rsid w:val="008A1440"/>
    <w:rsid w:val="008A6278"/>
    <w:rsid w:val="008A647A"/>
    <w:rsid w:val="008A64F4"/>
    <w:rsid w:val="008A6B61"/>
    <w:rsid w:val="008B1E9F"/>
    <w:rsid w:val="008B1EEF"/>
    <w:rsid w:val="008B1FA5"/>
    <w:rsid w:val="008B2119"/>
    <w:rsid w:val="008B215F"/>
    <w:rsid w:val="008B4650"/>
    <w:rsid w:val="008B4B8E"/>
    <w:rsid w:val="008B5240"/>
    <w:rsid w:val="008B68F0"/>
    <w:rsid w:val="008C0626"/>
    <w:rsid w:val="008C1088"/>
    <w:rsid w:val="008C165B"/>
    <w:rsid w:val="008C2BA4"/>
    <w:rsid w:val="008C56FF"/>
    <w:rsid w:val="008C7A06"/>
    <w:rsid w:val="008C7A8B"/>
    <w:rsid w:val="008D0D55"/>
    <w:rsid w:val="008D1ADE"/>
    <w:rsid w:val="008D1DC6"/>
    <w:rsid w:val="008D255F"/>
    <w:rsid w:val="008D2C67"/>
    <w:rsid w:val="008D4472"/>
    <w:rsid w:val="008D57FE"/>
    <w:rsid w:val="008D67BC"/>
    <w:rsid w:val="008D7CC4"/>
    <w:rsid w:val="008E1E5A"/>
    <w:rsid w:val="008E2024"/>
    <w:rsid w:val="008E4661"/>
    <w:rsid w:val="008E4801"/>
    <w:rsid w:val="008E51B2"/>
    <w:rsid w:val="008E543C"/>
    <w:rsid w:val="008E7C24"/>
    <w:rsid w:val="008F197A"/>
    <w:rsid w:val="008F669A"/>
    <w:rsid w:val="008F78C4"/>
    <w:rsid w:val="00901AC6"/>
    <w:rsid w:val="00902135"/>
    <w:rsid w:val="00902AC4"/>
    <w:rsid w:val="0090415D"/>
    <w:rsid w:val="0090533E"/>
    <w:rsid w:val="0090634D"/>
    <w:rsid w:val="00907715"/>
    <w:rsid w:val="0091113F"/>
    <w:rsid w:val="009119BA"/>
    <w:rsid w:val="00912ADA"/>
    <w:rsid w:val="00913A5A"/>
    <w:rsid w:val="00921D7A"/>
    <w:rsid w:val="00923CBD"/>
    <w:rsid w:val="00924C49"/>
    <w:rsid w:val="0092690F"/>
    <w:rsid w:val="00926D44"/>
    <w:rsid w:val="00931781"/>
    <w:rsid w:val="00932D2A"/>
    <w:rsid w:val="0093385D"/>
    <w:rsid w:val="00933FB7"/>
    <w:rsid w:val="009341BF"/>
    <w:rsid w:val="00937918"/>
    <w:rsid w:val="009412ED"/>
    <w:rsid w:val="00941CD8"/>
    <w:rsid w:val="009422AE"/>
    <w:rsid w:val="0094238A"/>
    <w:rsid w:val="00942F8F"/>
    <w:rsid w:val="0094303C"/>
    <w:rsid w:val="009478E2"/>
    <w:rsid w:val="00947CF1"/>
    <w:rsid w:val="0095205B"/>
    <w:rsid w:val="00952349"/>
    <w:rsid w:val="009529BB"/>
    <w:rsid w:val="00954170"/>
    <w:rsid w:val="0095426A"/>
    <w:rsid w:val="00956093"/>
    <w:rsid w:val="00957136"/>
    <w:rsid w:val="00957CCA"/>
    <w:rsid w:val="009615A1"/>
    <w:rsid w:val="00961B55"/>
    <w:rsid w:val="00963546"/>
    <w:rsid w:val="00963FC0"/>
    <w:rsid w:val="00964A8E"/>
    <w:rsid w:val="00966C17"/>
    <w:rsid w:val="00967D21"/>
    <w:rsid w:val="00974445"/>
    <w:rsid w:val="00975012"/>
    <w:rsid w:val="009754D3"/>
    <w:rsid w:val="0097736E"/>
    <w:rsid w:val="009801B2"/>
    <w:rsid w:val="00980532"/>
    <w:rsid w:val="0098150D"/>
    <w:rsid w:val="00982103"/>
    <w:rsid w:val="00982852"/>
    <w:rsid w:val="00982903"/>
    <w:rsid w:val="00982EF7"/>
    <w:rsid w:val="00983005"/>
    <w:rsid w:val="00984A46"/>
    <w:rsid w:val="0098504A"/>
    <w:rsid w:val="009856F3"/>
    <w:rsid w:val="0098700D"/>
    <w:rsid w:val="00987A99"/>
    <w:rsid w:val="00990DBA"/>
    <w:rsid w:val="00991168"/>
    <w:rsid w:val="00991ADA"/>
    <w:rsid w:val="009926D7"/>
    <w:rsid w:val="00992F6A"/>
    <w:rsid w:val="0099330D"/>
    <w:rsid w:val="009943EA"/>
    <w:rsid w:val="00994421"/>
    <w:rsid w:val="00995AC6"/>
    <w:rsid w:val="00995DC1"/>
    <w:rsid w:val="009A207D"/>
    <w:rsid w:val="009A409D"/>
    <w:rsid w:val="009A4927"/>
    <w:rsid w:val="009A6283"/>
    <w:rsid w:val="009A7757"/>
    <w:rsid w:val="009B0728"/>
    <w:rsid w:val="009B0A28"/>
    <w:rsid w:val="009B2A9E"/>
    <w:rsid w:val="009B2FA1"/>
    <w:rsid w:val="009B3ADC"/>
    <w:rsid w:val="009B509B"/>
    <w:rsid w:val="009B6A65"/>
    <w:rsid w:val="009B7223"/>
    <w:rsid w:val="009B7FC8"/>
    <w:rsid w:val="009C04A2"/>
    <w:rsid w:val="009C22F5"/>
    <w:rsid w:val="009C2C74"/>
    <w:rsid w:val="009C31A2"/>
    <w:rsid w:val="009C31E7"/>
    <w:rsid w:val="009C36D4"/>
    <w:rsid w:val="009C4491"/>
    <w:rsid w:val="009C4C4E"/>
    <w:rsid w:val="009C4CA6"/>
    <w:rsid w:val="009C647C"/>
    <w:rsid w:val="009C6A08"/>
    <w:rsid w:val="009C7880"/>
    <w:rsid w:val="009C79AD"/>
    <w:rsid w:val="009D19B0"/>
    <w:rsid w:val="009D1CA0"/>
    <w:rsid w:val="009D2067"/>
    <w:rsid w:val="009D401B"/>
    <w:rsid w:val="009D45F5"/>
    <w:rsid w:val="009D5592"/>
    <w:rsid w:val="009D73D0"/>
    <w:rsid w:val="009D776D"/>
    <w:rsid w:val="009E260D"/>
    <w:rsid w:val="009E277E"/>
    <w:rsid w:val="009E31BB"/>
    <w:rsid w:val="009E4049"/>
    <w:rsid w:val="009E40F6"/>
    <w:rsid w:val="009E5428"/>
    <w:rsid w:val="009F00A7"/>
    <w:rsid w:val="009F041C"/>
    <w:rsid w:val="009F0973"/>
    <w:rsid w:val="009F0FAC"/>
    <w:rsid w:val="009F1649"/>
    <w:rsid w:val="009F321D"/>
    <w:rsid w:val="009F3D12"/>
    <w:rsid w:val="009F52C2"/>
    <w:rsid w:val="009F762B"/>
    <w:rsid w:val="009F7938"/>
    <w:rsid w:val="009F7FC5"/>
    <w:rsid w:val="00A01495"/>
    <w:rsid w:val="00A016AA"/>
    <w:rsid w:val="00A0234E"/>
    <w:rsid w:val="00A03753"/>
    <w:rsid w:val="00A05562"/>
    <w:rsid w:val="00A05A2A"/>
    <w:rsid w:val="00A0670A"/>
    <w:rsid w:val="00A06D43"/>
    <w:rsid w:val="00A10E3B"/>
    <w:rsid w:val="00A10F08"/>
    <w:rsid w:val="00A13220"/>
    <w:rsid w:val="00A13A44"/>
    <w:rsid w:val="00A13F3C"/>
    <w:rsid w:val="00A156C6"/>
    <w:rsid w:val="00A20022"/>
    <w:rsid w:val="00A204B4"/>
    <w:rsid w:val="00A20F05"/>
    <w:rsid w:val="00A239D8"/>
    <w:rsid w:val="00A244EA"/>
    <w:rsid w:val="00A24733"/>
    <w:rsid w:val="00A25188"/>
    <w:rsid w:val="00A25D2B"/>
    <w:rsid w:val="00A2683A"/>
    <w:rsid w:val="00A31466"/>
    <w:rsid w:val="00A33173"/>
    <w:rsid w:val="00A348E1"/>
    <w:rsid w:val="00A36EB4"/>
    <w:rsid w:val="00A36F27"/>
    <w:rsid w:val="00A37C15"/>
    <w:rsid w:val="00A40649"/>
    <w:rsid w:val="00A42E05"/>
    <w:rsid w:val="00A44079"/>
    <w:rsid w:val="00A46F0B"/>
    <w:rsid w:val="00A47612"/>
    <w:rsid w:val="00A47F3A"/>
    <w:rsid w:val="00A505BF"/>
    <w:rsid w:val="00A52E11"/>
    <w:rsid w:val="00A535B3"/>
    <w:rsid w:val="00A53BD2"/>
    <w:rsid w:val="00A54928"/>
    <w:rsid w:val="00A55600"/>
    <w:rsid w:val="00A55770"/>
    <w:rsid w:val="00A60369"/>
    <w:rsid w:val="00A60503"/>
    <w:rsid w:val="00A60583"/>
    <w:rsid w:val="00A61616"/>
    <w:rsid w:val="00A61CAA"/>
    <w:rsid w:val="00A62C9D"/>
    <w:rsid w:val="00A635A6"/>
    <w:rsid w:val="00A647F2"/>
    <w:rsid w:val="00A6630C"/>
    <w:rsid w:val="00A66FCB"/>
    <w:rsid w:val="00A6763A"/>
    <w:rsid w:val="00A73411"/>
    <w:rsid w:val="00A7355E"/>
    <w:rsid w:val="00A7731F"/>
    <w:rsid w:val="00A809C7"/>
    <w:rsid w:val="00A8170F"/>
    <w:rsid w:val="00A82B23"/>
    <w:rsid w:val="00A84BAE"/>
    <w:rsid w:val="00A8560B"/>
    <w:rsid w:val="00A86F2B"/>
    <w:rsid w:val="00A87009"/>
    <w:rsid w:val="00A873DF"/>
    <w:rsid w:val="00A90710"/>
    <w:rsid w:val="00A918D1"/>
    <w:rsid w:val="00A91F92"/>
    <w:rsid w:val="00A93BF6"/>
    <w:rsid w:val="00A95441"/>
    <w:rsid w:val="00A95DE6"/>
    <w:rsid w:val="00A95E46"/>
    <w:rsid w:val="00A96F5E"/>
    <w:rsid w:val="00A9716A"/>
    <w:rsid w:val="00AA08FF"/>
    <w:rsid w:val="00AA0A37"/>
    <w:rsid w:val="00AA1571"/>
    <w:rsid w:val="00AA24D1"/>
    <w:rsid w:val="00AA3804"/>
    <w:rsid w:val="00AA4FD5"/>
    <w:rsid w:val="00AA59E0"/>
    <w:rsid w:val="00AB04ED"/>
    <w:rsid w:val="00AB0E98"/>
    <w:rsid w:val="00AB19E6"/>
    <w:rsid w:val="00AB2B55"/>
    <w:rsid w:val="00AB3D8B"/>
    <w:rsid w:val="00AB4AEF"/>
    <w:rsid w:val="00AB634F"/>
    <w:rsid w:val="00AB685B"/>
    <w:rsid w:val="00AC050D"/>
    <w:rsid w:val="00AC0575"/>
    <w:rsid w:val="00AC1CC2"/>
    <w:rsid w:val="00AC2600"/>
    <w:rsid w:val="00AC4292"/>
    <w:rsid w:val="00AC47D7"/>
    <w:rsid w:val="00AC4CFF"/>
    <w:rsid w:val="00AC5F32"/>
    <w:rsid w:val="00AD0CFB"/>
    <w:rsid w:val="00AD1094"/>
    <w:rsid w:val="00AD12AD"/>
    <w:rsid w:val="00AD12E2"/>
    <w:rsid w:val="00AD1CF0"/>
    <w:rsid w:val="00AD227B"/>
    <w:rsid w:val="00AD516C"/>
    <w:rsid w:val="00AD7CF2"/>
    <w:rsid w:val="00AE072B"/>
    <w:rsid w:val="00AE0F0A"/>
    <w:rsid w:val="00AE1AA6"/>
    <w:rsid w:val="00AE3A3A"/>
    <w:rsid w:val="00AE4302"/>
    <w:rsid w:val="00AE550C"/>
    <w:rsid w:val="00AE6501"/>
    <w:rsid w:val="00AE6D7A"/>
    <w:rsid w:val="00AE788B"/>
    <w:rsid w:val="00AF156B"/>
    <w:rsid w:val="00AF15A3"/>
    <w:rsid w:val="00AF1BC3"/>
    <w:rsid w:val="00AF314F"/>
    <w:rsid w:val="00AF3A2A"/>
    <w:rsid w:val="00AF5A9E"/>
    <w:rsid w:val="00AF65CC"/>
    <w:rsid w:val="00B00BB4"/>
    <w:rsid w:val="00B0126D"/>
    <w:rsid w:val="00B04E17"/>
    <w:rsid w:val="00B0635A"/>
    <w:rsid w:val="00B07CF2"/>
    <w:rsid w:val="00B10EF0"/>
    <w:rsid w:val="00B1299B"/>
    <w:rsid w:val="00B1389B"/>
    <w:rsid w:val="00B13FF0"/>
    <w:rsid w:val="00B14C79"/>
    <w:rsid w:val="00B1525F"/>
    <w:rsid w:val="00B15F4F"/>
    <w:rsid w:val="00B16755"/>
    <w:rsid w:val="00B17B9A"/>
    <w:rsid w:val="00B232D7"/>
    <w:rsid w:val="00B234F9"/>
    <w:rsid w:val="00B26079"/>
    <w:rsid w:val="00B2724C"/>
    <w:rsid w:val="00B27CF7"/>
    <w:rsid w:val="00B3097C"/>
    <w:rsid w:val="00B30A13"/>
    <w:rsid w:val="00B3142B"/>
    <w:rsid w:val="00B32529"/>
    <w:rsid w:val="00B3362B"/>
    <w:rsid w:val="00B3369E"/>
    <w:rsid w:val="00B33FDF"/>
    <w:rsid w:val="00B36156"/>
    <w:rsid w:val="00B361AA"/>
    <w:rsid w:val="00B36EAA"/>
    <w:rsid w:val="00B37A12"/>
    <w:rsid w:val="00B403D8"/>
    <w:rsid w:val="00B40BA6"/>
    <w:rsid w:val="00B41602"/>
    <w:rsid w:val="00B41E74"/>
    <w:rsid w:val="00B45717"/>
    <w:rsid w:val="00B45FB9"/>
    <w:rsid w:val="00B46035"/>
    <w:rsid w:val="00B46165"/>
    <w:rsid w:val="00B46921"/>
    <w:rsid w:val="00B51B3E"/>
    <w:rsid w:val="00B524D9"/>
    <w:rsid w:val="00B540ED"/>
    <w:rsid w:val="00B5728F"/>
    <w:rsid w:val="00B57770"/>
    <w:rsid w:val="00B60D0D"/>
    <w:rsid w:val="00B61009"/>
    <w:rsid w:val="00B62893"/>
    <w:rsid w:val="00B62E7A"/>
    <w:rsid w:val="00B64CC0"/>
    <w:rsid w:val="00B6605D"/>
    <w:rsid w:val="00B67450"/>
    <w:rsid w:val="00B67DA6"/>
    <w:rsid w:val="00B70488"/>
    <w:rsid w:val="00B719C6"/>
    <w:rsid w:val="00B75B9C"/>
    <w:rsid w:val="00B764CC"/>
    <w:rsid w:val="00B76F86"/>
    <w:rsid w:val="00B7794F"/>
    <w:rsid w:val="00B809F5"/>
    <w:rsid w:val="00B82AD3"/>
    <w:rsid w:val="00B843A5"/>
    <w:rsid w:val="00B84979"/>
    <w:rsid w:val="00B85739"/>
    <w:rsid w:val="00B87F74"/>
    <w:rsid w:val="00B90669"/>
    <w:rsid w:val="00B931C6"/>
    <w:rsid w:val="00B939D1"/>
    <w:rsid w:val="00B94493"/>
    <w:rsid w:val="00B949E4"/>
    <w:rsid w:val="00B94AD3"/>
    <w:rsid w:val="00B95A47"/>
    <w:rsid w:val="00B9659A"/>
    <w:rsid w:val="00B9688A"/>
    <w:rsid w:val="00BA018B"/>
    <w:rsid w:val="00BA40EB"/>
    <w:rsid w:val="00BA48E4"/>
    <w:rsid w:val="00BA5607"/>
    <w:rsid w:val="00BA589F"/>
    <w:rsid w:val="00BA5F0E"/>
    <w:rsid w:val="00BA68A8"/>
    <w:rsid w:val="00BA6DBC"/>
    <w:rsid w:val="00BA724E"/>
    <w:rsid w:val="00BB0757"/>
    <w:rsid w:val="00BB0FD7"/>
    <w:rsid w:val="00BB1A8C"/>
    <w:rsid w:val="00BB20E8"/>
    <w:rsid w:val="00BB2785"/>
    <w:rsid w:val="00BB3816"/>
    <w:rsid w:val="00BB55E1"/>
    <w:rsid w:val="00BB6F8F"/>
    <w:rsid w:val="00BB7B50"/>
    <w:rsid w:val="00BB7D4A"/>
    <w:rsid w:val="00BC2008"/>
    <w:rsid w:val="00BC24A4"/>
    <w:rsid w:val="00BC267F"/>
    <w:rsid w:val="00BC356B"/>
    <w:rsid w:val="00BC4B4E"/>
    <w:rsid w:val="00BC4BE8"/>
    <w:rsid w:val="00BC5864"/>
    <w:rsid w:val="00BC6A13"/>
    <w:rsid w:val="00BD01E6"/>
    <w:rsid w:val="00BD2501"/>
    <w:rsid w:val="00BD2840"/>
    <w:rsid w:val="00BD60A2"/>
    <w:rsid w:val="00BE07DF"/>
    <w:rsid w:val="00BE385B"/>
    <w:rsid w:val="00BE3AED"/>
    <w:rsid w:val="00BE3BC1"/>
    <w:rsid w:val="00BE4222"/>
    <w:rsid w:val="00BE472C"/>
    <w:rsid w:val="00BE47A0"/>
    <w:rsid w:val="00BE663E"/>
    <w:rsid w:val="00BF0264"/>
    <w:rsid w:val="00BF05E8"/>
    <w:rsid w:val="00BF0848"/>
    <w:rsid w:val="00BF09CC"/>
    <w:rsid w:val="00BF0BBB"/>
    <w:rsid w:val="00BF0EF2"/>
    <w:rsid w:val="00BF1F1E"/>
    <w:rsid w:val="00BF4267"/>
    <w:rsid w:val="00BF4D63"/>
    <w:rsid w:val="00BF5691"/>
    <w:rsid w:val="00BF57A5"/>
    <w:rsid w:val="00C01B30"/>
    <w:rsid w:val="00C024D6"/>
    <w:rsid w:val="00C050D3"/>
    <w:rsid w:val="00C06F9E"/>
    <w:rsid w:val="00C103F5"/>
    <w:rsid w:val="00C11005"/>
    <w:rsid w:val="00C11189"/>
    <w:rsid w:val="00C122E2"/>
    <w:rsid w:val="00C139D9"/>
    <w:rsid w:val="00C14514"/>
    <w:rsid w:val="00C15BC0"/>
    <w:rsid w:val="00C17A91"/>
    <w:rsid w:val="00C17F9E"/>
    <w:rsid w:val="00C20081"/>
    <w:rsid w:val="00C2298B"/>
    <w:rsid w:val="00C23275"/>
    <w:rsid w:val="00C23B89"/>
    <w:rsid w:val="00C2581B"/>
    <w:rsid w:val="00C25B21"/>
    <w:rsid w:val="00C267D0"/>
    <w:rsid w:val="00C26FA4"/>
    <w:rsid w:val="00C2761D"/>
    <w:rsid w:val="00C27A3A"/>
    <w:rsid w:val="00C30D17"/>
    <w:rsid w:val="00C30E15"/>
    <w:rsid w:val="00C3200C"/>
    <w:rsid w:val="00C3216A"/>
    <w:rsid w:val="00C3652A"/>
    <w:rsid w:val="00C4043D"/>
    <w:rsid w:val="00C40440"/>
    <w:rsid w:val="00C40F41"/>
    <w:rsid w:val="00C43076"/>
    <w:rsid w:val="00C442AB"/>
    <w:rsid w:val="00C44371"/>
    <w:rsid w:val="00C44690"/>
    <w:rsid w:val="00C45063"/>
    <w:rsid w:val="00C50848"/>
    <w:rsid w:val="00C5229F"/>
    <w:rsid w:val="00C52D08"/>
    <w:rsid w:val="00C54039"/>
    <w:rsid w:val="00C540CA"/>
    <w:rsid w:val="00C56795"/>
    <w:rsid w:val="00C5712E"/>
    <w:rsid w:val="00C608BC"/>
    <w:rsid w:val="00C60FB7"/>
    <w:rsid w:val="00C62B18"/>
    <w:rsid w:val="00C62B46"/>
    <w:rsid w:val="00C64810"/>
    <w:rsid w:val="00C64A74"/>
    <w:rsid w:val="00C670F5"/>
    <w:rsid w:val="00C67FD7"/>
    <w:rsid w:val="00C70FCA"/>
    <w:rsid w:val="00C72222"/>
    <w:rsid w:val="00C749CF"/>
    <w:rsid w:val="00C74FDD"/>
    <w:rsid w:val="00C759F2"/>
    <w:rsid w:val="00C75CED"/>
    <w:rsid w:val="00C81176"/>
    <w:rsid w:val="00C82B0E"/>
    <w:rsid w:val="00C83FFB"/>
    <w:rsid w:val="00C84029"/>
    <w:rsid w:val="00C8448C"/>
    <w:rsid w:val="00C84DD6"/>
    <w:rsid w:val="00C850D5"/>
    <w:rsid w:val="00C86CAB"/>
    <w:rsid w:val="00C92D69"/>
    <w:rsid w:val="00C93594"/>
    <w:rsid w:val="00C946D5"/>
    <w:rsid w:val="00C975AD"/>
    <w:rsid w:val="00CA0C30"/>
    <w:rsid w:val="00CA0DA9"/>
    <w:rsid w:val="00CA19BD"/>
    <w:rsid w:val="00CA306A"/>
    <w:rsid w:val="00CA4524"/>
    <w:rsid w:val="00CA7546"/>
    <w:rsid w:val="00CA7B1B"/>
    <w:rsid w:val="00CB05F5"/>
    <w:rsid w:val="00CB081C"/>
    <w:rsid w:val="00CB102D"/>
    <w:rsid w:val="00CB1C0B"/>
    <w:rsid w:val="00CB3372"/>
    <w:rsid w:val="00CB33DC"/>
    <w:rsid w:val="00CB6AEF"/>
    <w:rsid w:val="00CC0725"/>
    <w:rsid w:val="00CC1DE7"/>
    <w:rsid w:val="00CC2967"/>
    <w:rsid w:val="00CC36A4"/>
    <w:rsid w:val="00CC4468"/>
    <w:rsid w:val="00CC5054"/>
    <w:rsid w:val="00CC60C9"/>
    <w:rsid w:val="00CC627A"/>
    <w:rsid w:val="00CC64B6"/>
    <w:rsid w:val="00CD1626"/>
    <w:rsid w:val="00CD1F50"/>
    <w:rsid w:val="00CD2B25"/>
    <w:rsid w:val="00CD408A"/>
    <w:rsid w:val="00CD71F6"/>
    <w:rsid w:val="00CD76C2"/>
    <w:rsid w:val="00CE15ED"/>
    <w:rsid w:val="00CE1619"/>
    <w:rsid w:val="00CE16C3"/>
    <w:rsid w:val="00CE2684"/>
    <w:rsid w:val="00CE4FEA"/>
    <w:rsid w:val="00CE68F8"/>
    <w:rsid w:val="00CF0D53"/>
    <w:rsid w:val="00CF4383"/>
    <w:rsid w:val="00D0237F"/>
    <w:rsid w:val="00D0613B"/>
    <w:rsid w:val="00D06319"/>
    <w:rsid w:val="00D06846"/>
    <w:rsid w:val="00D06AD5"/>
    <w:rsid w:val="00D074BA"/>
    <w:rsid w:val="00D10370"/>
    <w:rsid w:val="00D1147F"/>
    <w:rsid w:val="00D123E7"/>
    <w:rsid w:val="00D139ED"/>
    <w:rsid w:val="00D140E6"/>
    <w:rsid w:val="00D14FF5"/>
    <w:rsid w:val="00D15A32"/>
    <w:rsid w:val="00D2002D"/>
    <w:rsid w:val="00D2019B"/>
    <w:rsid w:val="00D21B60"/>
    <w:rsid w:val="00D22E4A"/>
    <w:rsid w:val="00D23E9D"/>
    <w:rsid w:val="00D272A9"/>
    <w:rsid w:val="00D275D7"/>
    <w:rsid w:val="00D30085"/>
    <w:rsid w:val="00D3059F"/>
    <w:rsid w:val="00D4088C"/>
    <w:rsid w:val="00D40B45"/>
    <w:rsid w:val="00D43074"/>
    <w:rsid w:val="00D43BB1"/>
    <w:rsid w:val="00D4506E"/>
    <w:rsid w:val="00D45998"/>
    <w:rsid w:val="00D4619C"/>
    <w:rsid w:val="00D461B8"/>
    <w:rsid w:val="00D478D9"/>
    <w:rsid w:val="00D50282"/>
    <w:rsid w:val="00D51FA5"/>
    <w:rsid w:val="00D52718"/>
    <w:rsid w:val="00D538BC"/>
    <w:rsid w:val="00D54114"/>
    <w:rsid w:val="00D54D2C"/>
    <w:rsid w:val="00D550A4"/>
    <w:rsid w:val="00D557E3"/>
    <w:rsid w:val="00D55DC8"/>
    <w:rsid w:val="00D57806"/>
    <w:rsid w:val="00D5791A"/>
    <w:rsid w:val="00D57CAB"/>
    <w:rsid w:val="00D609BB"/>
    <w:rsid w:val="00D60A15"/>
    <w:rsid w:val="00D6197B"/>
    <w:rsid w:val="00D61F14"/>
    <w:rsid w:val="00D655A5"/>
    <w:rsid w:val="00D66423"/>
    <w:rsid w:val="00D66641"/>
    <w:rsid w:val="00D66FF0"/>
    <w:rsid w:val="00D676D6"/>
    <w:rsid w:val="00D67BCC"/>
    <w:rsid w:val="00D70D42"/>
    <w:rsid w:val="00D7274E"/>
    <w:rsid w:val="00D72DA4"/>
    <w:rsid w:val="00D72E8B"/>
    <w:rsid w:val="00D73E2E"/>
    <w:rsid w:val="00D758CF"/>
    <w:rsid w:val="00D75B89"/>
    <w:rsid w:val="00D76AB5"/>
    <w:rsid w:val="00D81E04"/>
    <w:rsid w:val="00D81E94"/>
    <w:rsid w:val="00D81F2D"/>
    <w:rsid w:val="00D82D2E"/>
    <w:rsid w:val="00D83FDB"/>
    <w:rsid w:val="00D84549"/>
    <w:rsid w:val="00D845FE"/>
    <w:rsid w:val="00D84989"/>
    <w:rsid w:val="00D85424"/>
    <w:rsid w:val="00D85F73"/>
    <w:rsid w:val="00D86A16"/>
    <w:rsid w:val="00D87D71"/>
    <w:rsid w:val="00D87DEC"/>
    <w:rsid w:val="00D9001E"/>
    <w:rsid w:val="00D90E3A"/>
    <w:rsid w:val="00D911AC"/>
    <w:rsid w:val="00D9133E"/>
    <w:rsid w:val="00D91768"/>
    <w:rsid w:val="00D9198B"/>
    <w:rsid w:val="00D935E1"/>
    <w:rsid w:val="00D9463F"/>
    <w:rsid w:val="00D95CA7"/>
    <w:rsid w:val="00D96489"/>
    <w:rsid w:val="00D9659D"/>
    <w:rsid w:val="00D975C4"/>
    <w:rsid w:val="00DA0233"/>
    <w:rsid w:val="00DA0B0C"/>
    <w:rsid w:val="00DA334D"/>
    <w:rsid w:val="00DA3928"/>
    <w:rsid w:val="00DA5915"/>
    <w:rsid w:val="00DA62DF"/>
    <w:rsid w:val="00DB1FA7"/>
    <w:rsid w:val="00DB244D"/>
    <w:rsid w:val="00DB3BD3"/>
    <w:rsid w:val="00DB59BD"/>
    <w:rsid w:val="00DB5DC9"/>
    <w:rsid w:val="00DB6107"/>
    <w:rsid w:val="00DB6393"/>
    <w:rsid w:val="00DB6B7D"/>
    <w:rsid w:val="00DC10F4"/>
    <w:rsid w:val="00DC1837"/>
    <w:rsid w:val="00DC1A9D"/>
    <w:rsid w:val="00DC22CC"/>
    <w:rsid w:val="00DC4D8B"/>
    <w:rsid w:val="00DC50D4"/>
    <w:rsid w:val="00DC6169"/>
    <w:rsid w:val="00DC7038"/>
    <w:rsid w:val="00DC7825"/>
    <w:rsid w:val="00DC7AAD"/>
    <w:rsid w:val="00DD405E"/>
    <w:rsid w:val="00DE1C26"/>
    <w:rsid w:val="00DE25D0"/>
    <w:rsid w:val="00DE30B4"/>
    <w:rsid w:val="00DE3D21"/>
    <w:rsid w:val="00DE4A6E"/>
    <w:rsid w:val="00DE6829"/>
    <w:rsid w:val="00DF12AB"/>
    <w:rsid w:val="00DF2E3C"/>
    <w:rsid w:val="00DF5AB2"/>
    <w:rsid w:val="00DF61B1"/>
    <w:rsid w:val="00DF7585"/>
    <w:rsid w:val="00DF7A25"/>
    <w:rsid w:val="00E04315"/>
    <w:rsid w:val="00E05431"/>
    <w:rsid w:val="00E064A1"/>
    <w:rsid w:val="00E06578"/>
    <w:rsid w:val="00E074BA"/>
    <w:rsid w:val="00E1103B"/>
    <w:rsid w:val="00E113D0"/>
    <w:rsid w:val="00E1190D"/>
    <w:rsid w:val="00E12292"/>
    <w:rsid w:val="00E125F0"/>
    <w:rsid w:val="00E12B91"/>
    <w:rsid w:val="00E14F97"/>
    <w:rsid w:val="00E15C69"/>
    <w:rsid w:val="00E1604D"/>
    <w:rsid w:val="00E20BF1"/>
    <w:rsid w:val="00E21C84"/>
    <w:rsid w:val="00E2625C"/>
    <w:rsid w:val="00E26BFB"/>
    <w:rsid w:val="00E3197D"/>
    <w:rsid w:val="00E32AD1"/>
    <w:rsid w:val="00E32BF0"/>
    <w:rsid w:val="00E33473"/>
    <w:rsid w:val="00E35C6D"/>
    <w:rsid w:val="00E3654C"/>
    <w:rsid w:val="00E376BE"/>
    <w:rsid w:val="00E40A1E"/>
    <w:rsid w:val="00E4275F"/>
    <w:rsid w:val="00E42888"/>
    <w:rsid w:val="00E428E4"/>
    <w:rsid w:val="00E4323B"/>
    <w:rsid w:val="00E43C37"/>
    <w:rsid w:val="00E43FB3"/>
    <w:rsid w:val="00E45B36"/>
    <w:rsid w:val="00E45C52"/>
    <w:rsid w:val="00E47FE7"/>
    <w:rsid w:val="00E50B3F"/>
    <w:rsid w:val="00E51FDA"/>
    <w:rsid w:val="00E52F0A"/>
    <w:rsid w:val="00E53A1D"/>
    <w:rsid w:val="00E5469E"/>
    <w:rsid w:val="00E55E3C"/>
    <w:rsid w:val="00E56502"/>
    <w:rsid w:val="00E57EF1"/>
    <w:rsid w:val="00E633A1"/>
    <w:rsid w:val="00E65815"/>
    <w:rsid w:val="00E6767F"/>
    <w:rsid w:val="00E70C69"/>
    <w:rsid w:val="00E72B38"/>
    <w:rsid w:val="00E7415D"/>
    <w:rsid w:val="00E7651C"/>
    <w:rsid w:val="00E80006"/>
    <w:rsid w:val="00E82506"/>
    <w:rsid w:val="00E84A18"/>
    <w:rsid w:val="00E851DC"/>
    <w:rsid w:val="00E90360"/>
    <w:rsid w:val="00E91E9D"/>
    <w:rsid w:val="00E925D6"/>
    <w:rsid w:val="00E93B96"/>
    <w:rsid w:val="00E93BF7"/>
    <w:rsid w:val="00E950B2"/>
    <w:rsid w:val="00E95FB4"/>
    <w:rsid w:val="00E95FD0"/>
    <w:rsid w:val="00E96058"/>
    <w:rsid w:val="00E9609C"/>
    <w:rsid w:val="00E97327"/>
    <w:rsid w:val="00EA08A4"/>
    <w:rsid w:val="00EA09BF"/>
    <w:rsid w:val="00EA23A3"/>
    <w:rsid w:val="00EA2892"/>
    <w:rsid w:val="00EA3496"/>
    <w:rsid w:val="00EA433E"/>
    <w:rsid w:val="00EA4569"/>
    <w:rsid w:val="00EA54F2"/>
    <w:rsid w:val="00EA6367"/>
    <w:rsid w:val="00EA718E"/>
    <w:rsid w:val="00EB0A21"/>
    <w:rsid w:val="00EB0E3F"/>
    <w:rsid w:val="00EB0E63"/>
    <w:rsid w:val="00EB2FB2"/>
    <w:rsid w:val="00EB3625"/>
    <w:rsid w:val="00EB4B80"/>
    <w:rsid w:val="00EB566F"/>
    <w:rsid w:val="00EB5D13"/>
    <w:rsid w:val="00EB5E3F"/>
    <w:rsid w:val="00EB6635"/>
    <w:rsid w:val="00EB6B82"/>
    <w:rsid w:val="00EC1AB3"/>
    <w:rsid w:val="00EC1CCC"/>
    <w:rsid w:val="00EC25B0"/>
    <w:rsid w:val="00EC2FE6"/>
    <w:rsid w:val="00EC5429"/>
    <w:rsid w:val="00EC5BE4"/>
    <w:rsid w:val="00EC6C6F"/>
    <w:rsid w:val="00EC7E5D"/>
    <w:rsid w:val="00ED049A"/>
    <w:rsid w:val="00ED556C"/>
    <w:rsid w:val="00ED5752"/>
    <w:rsid w:val="00ED58C9"/>
    <w:rsid w:val="00ED5D74"/>
    <w:rsid w:val="00ED704F"/>
    <w:rsid w:val="00ED759C"/>
    <w:rsid w:val="00EE0176"/>
    <w:rsid w:val="00EE3019"/>
    <w:rsid w:val="00EE5AC8"/>
    <w:rsid w:val="00EE7F9A"/>
    <w:rsid w:val="00EF2627"/>
    <w:rsid w:val="00EF3554"/>
    <w:rsid w:val="00EF3D17"/>
    <w:rsid w:val="00EF41D0"/>
    <w:rsid w:val="00EF6ED9"/>
    <w:rsid w:val="00EF6F1F"/>
    <w:rsid w:val="00EF77FC"/>
    <w:rsid w:val="00F01AD8"/>
    <w:rsid w:val="00F035DF"/>
    <w:rsid w:val="00F0736D"/>
    <w:rsid w:val="00F078A9"/>
    <w:rsid w:val="00F103B3"/>
    <w:rsid w:val="00F1210D"/>
    <w:rsid w:val="00F1275D"/>
    <w:rsid w:val="00F14EDF"/>
    <w:rsid w:val="00F15F59"/>
    <w:rsid w:val="00F171CB"/>
    <w:rsid w:val="00F215A8"/>
    <w:rsid w:val="00F21D20"/>
    <w:rsid w:val="00F22B91"/>
    <w:rsid w:val="00F23695"/>
    <w:rsid w:val="00F23E2F"/>
    <w:rsid w:val="00F24922"/>
    <w:rsid w:val="00F24ABE"/>
    <w:rsid w:val="00F252A3"/>
    <w:rsid w:val="00F25621"/>
    <w:rsid w:val="00F25CA0"/>
    <w:rsid w:val="00F2640D"/>
    <w:rsid w:val="00F27A50"/>
    <w:rsid w:val="00F311A4"/>
    <w:rsid w:val="00F337A3"/>
    <w:rsid w:val="00F350E3"/>
    <w:rsid w:val="00F368DE"/>
    <w:rsid w:val="00F3746C"/>
    <w:rsid w:val="00F409B1"/>
    <w:rsid w:val="00F417D9"/>
    <w:rsid w:val="00F42D8C"/>
    <w:rsid w:val="00F43EDE"/>
    <w:rsid w:val="00F44963"/>
    <w:rsid w:val="00F457DE"/>
    <w:rsid w:val="00F458D9"/>
    <w:rsid w:val="00F46CA7"/>
    <w:rsid w:val="00F47EE9"/>
    <w:rsid w:val="00F5078F"/>
    <w:rsid w:val="00F50AF7"/>
    <w:rsid w:val="00F50CB5"/>
    <w:rsid w:val="00F5116A"/>
    <w:rsid w:val="00F53DBE"/>
    <w:rsid w:val="00F578A9"/>
    <w:rsid w:val="00F62EE3"/>
    <w:rsid w:val="00F63FC7"/>
    <w:rsid w:val="00F645CD"/>
    <w:rsid w:val="00F653BF"/>
    <w:rsid w:val="00F65910"/>
    <w:rsid w:val="00F65DF6"/>
    <w:rsid w:val="00F66483"/>
    <w:rsid w:val="00F665CF"/>
    <w:rsid w:val="00F67F03"/>
    <w:rsid w:val="00F70DE2"/>
    <w:rsid w:val="00F718D6"/>
    <w:rsid w:val="00F72B12"/>
    <w:rsid w:val="00F74AE1"/>
    <w:rsid w:val="00F74C4C"/>
    <w:rsid w:val="00F75068"/>
    <w:rsid w:val="00F7667D"/>
    <w:rsid w:val="00F77CB0"/>
    <w:rsid w:val="00F8035E"/>
    <w:rsid w:val="00F80532"/>
    <w:rsid w:val="00F81280"/>
    <w:rsid w:val="00F85F64"/>
    <w:rsid w:val="00F862C7"/>
    <w:rsid w:val="00F8656B"/>
    <w:rsid w:val="00F87122"/>
    <w:rsid w:val="00F92DE8"/>
    <w:rsid w:val="00F93CDF"/>
    <w:rsid w:val="00F95002"/>
    <w:rsid w:val="00F964F2"/>
    <w:rsid w:val="00F96DB5"/>
    <w:rsid w:val="00F97BC7"/>
    <w:rsid w:val="00FA0FBF"/>
    <w:rsid w:val="00FA4FF1"/>
    <w:rsid w:val="00FA550D"/>
    <w:rsid w:val="00FA5F14"/>
    <w:rsid w:val="00FA6043"/>
    <w:rsid w:val="00FA7FC1"/>
    <w:rsid w:val="00FB029C"/>
    <w:rsid w:val="00FB11A9"/>
    <w:rsid w:val="00FB2455"/>
    <w:rsid w:val="00FB353F"/>
    <w:rsid w:val="00FB3542"/>
    <w:rsid w:val="00FB3F96"/>
    <w:rsid w:val="00FB45FF"/>
    <w:rsid w:val="00FB5367"/>
    <w:rsid w:val="00FB78C6"/>
    <w:rsid w:val="00FC011B"/>
    <w:rsid w:val="00FC1902"/>
    <w:rsid w:val="00FC1AE5"/>
    <w:rsid w:val="00FC1FE2"/>
    <w:rsid w:val="00FC265E"/>
    <w:rsid w:val="00FC2CC4"/>
    <w:rsid w:val="00FC37B2"/>
    <w:rsid w:val="00FC37EE"/>
    <w:rsid w:val="00FC3E83"/>
    <w:rsid w:val="00FC56B4"/>
    <w:rsid w:val="00FC5E26"/>
    <w:rsid w:val="00FC6BD2"/>
    <w:rsid w:val="00FC7EC1"/>
    <w:rsid w:val="00FD1285"/>
    <w:rsid w:val="00FD14FF"/>
    <w:rsid w:val="00FD2E46"/>
    <w:rsid w:val="00FD3546"/>
    <w:rsid w:val="00FD57A9"/>
    <w:rsid w:val="00FD73E1"/>
    <w:rsid w:val="00FD7BEF"/>
    <w:rsid w:val="00FE11C0"/>
    <w:rsid w:val="00FE21F2"/>
    <w:rsid w:val="00FE224D"/>
    <w:rsid w:val="00FE2390"/>
    <w:rsid w:val="00FE5EEF"/>
    <w:rsid w:val="00FE617A"/>
    <w:rsid w:val="00FE6992"/>
    <w:rsid w:val="00FE74E6"/>
    <w:rsid w:val="00FF3295"/>
    <w:rsid w:val="00FF4CE2"/>
    <w:rsid w:val="00FF5058"/>
    <w:rsid w:val="00FF56BF"/>
    <w:rsid w:val="00FF70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Body Text" w:uiPriority="99"/>
    <w:lsdException w:name="Body Text Indent" w:uiPriority="99"/>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HTML Bottom of Form" w:uiPriority="99"/>
    <w:lsdException w:name="Normal (Web)" w:uiPriority="99"/>
    <w:lsdException w:name="HTML Preformatted"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7A3F"/>
    <w:pPr>
      <w:widowControl w:val="0"/>
      <w:jc w:val="both"/>
    </w:pPr>
    <w:rPr>
      <w:rFonts w:ascii="Arial" w:hAnsi="Arial"/>
      <w:sz w:val="22"/>
    </w:rPr>
  </w:style>
  <w:style w:type="paragraph" w:styleId="Titolo1">
    <w:name w:val="heading 1"/>
    <w:aliases w:val="PARTE"/>
    <w:basedOn w:val="Normale"/>
    <w:next w:val="Titolo2"/>
    <w:link w:val="Titolo1Carattere"/>
    <w:autoRedefine/>
    <w:uiPriority w:val="99"/>
    <w:qFormat/>
    <w:rsid w:val="00F72B12"/>
    <w:pPr>
      <w:keepNext/>
      <w:tabs>
        <w:tab w:val="num" w:pos="360"/>
      </w:tabs>
      <w:spacing w:before="240" w:after="240"/>
      <w:contextualSpacing/>
      <w:outlineLvl w:val="0"/>
    </w:pPr>
    <w:rPr>
      <w:rFonts w:cs="Arial"/>
      <w:b/>
      <w:caps/>
    </w:rPr>
  </w:style>
  <w:style w:type="paragraph" w:styleId="Titolo2">
    <w:name w:val="heading 2"/>
    <w:aliases w:val="TITOLO"/>
    <w:basedOn w:val="Normale"/>
    <w:next w:val="Titolo3"/>
    <w:link w:val="Titolo2Carattere"/>
    <w:autoRedefine/>
    <w:uiPriority w:val="99"/>
    <w:qFormat/>
    <w:rsid w:val="0003195A"/>
    <w:pPr>
      <w:keepNext/>
      <w:numPr>
        <w:ilvl w:val="1"/>
        <w:numId w:val="2"/>
      </w:numPr>
      <w:spacing w:before="480" w:after="120" w:line="360" w:lineRule="auto"/>
      <w:outlineLvl w:val="1"/>
    </w:pPr>
    <w:rPr>
      <w:b/>
    </w:rPr>
  </w:style>
  <w:style w:type="paragraph" w:styleId="Titolo3">
    <w:name w:val="heading 3"/>
    <w:aliases w:val="CAPO Carattere"/>
    <w:basedOn w:val="Normale"/>
    <w:next w:val="Titolo4"/>
    <w:link w:val="Titolo3Carattere"/>
    <w:uiPriority w:val="99"/>
    <w:qFormat/>
    <w:rsid w:val="00117A3F"/>
    <w:pPr>
      <w:keepNext/>
      <w:numPr>
        <w:ilvl w:val="2"/>
        <w:numId w:val="2"/>
      </w:numPr>
      <w:spacing w:before="240" w:after="120"/>
      <w:outlineLvl w:val="2"/>
    </w:pPr>
    <w:rPr>
      <w:iCs/>
    </w:rPr>
  </w:style>
  <w:style w:type="paragraph" w:styleId="Titolo4">
    <w:name w:val="heading 4"/>
    <w:aliases w:val="CAMPO Carattere"/>
    <w:basedOn w:val="Normale"/>
    <w:next w:val="Corpodeltesto1"/>
    <w:link w:val="Titolo4Carattere1"/>
    <w:uiPriority w:val="99"/>
    <w:qFormat/>
    <w:rsid w:val="0061793D"/>
    <w:pPr>
      <w:keepNext/>
      <w:numPr>
        <w:ilvl w:val="3"/>
        <w:numId w:val="2"/>
      </w:numPr>
      <w:spacing w:before="240" w:after="120"/>
      <w:outlineLvl w:val="3"/>
    </w:pPr>
    <w:rPr>
      <w:rFonts w:ascii="Times New Roman" w:hAnsi="Times New Roman"/>
      <w:b/>
    </w:rPr>
  </w:style>
  <w:style w:type="paragraph" w:styleId="Titolo5">
    <w:name w:val="heading 5"/>
    <w:aliases w:val="ARTICOLO"/>
    <w:basedOn w:val="Normale"/>
    <w:next w:val="Corpodeltesto1"/>
    <w:link w:val="Titolo5Carattere"/>
    <w:uiPriority w:val="99"/>
    <w:qFormat/>
    <w:rsid w:val="0061793D"/>
    <w:pPr>
      <w:keepNext/>
      <w:numPr>
        <w:ilvl w:val="4"/>
        <w:numId w:val="2"/>
      </w:numPr>
      <w:spacing w:before="240" w:after="120"/>
      <w:outlineLvl w:val="4"/>
    </w:pPr>
    <w:rPr>
      <w:i/>
    </w:rPr>
  </w:style>
  <w:style w:type="paragraph" w:styleId="Titolo6">
    <w:name w:val="heading 6"/>
    <w:basedOn w:val="Normale"/>
    <w:next w:val="Corpodeltesto1"/>
    <w:link w:val="Titolo6Carattere1"/>
    <w:uiPriority w:val="99"/>
    <w:qFormat/>
    <w:rsid w:val="0061793D"/>
    <w:pPr>
      <w:keepNext/>
      <w:numPr>
        <w:ilvl w:val="5"/>
        <w:numId w:val="2"/>
      </w:numPr>
      <w:spacing w:before="240" w:after="120"/>
      <w:outlineLvl w:val="5"/>
    </w:pPr>
    <w:rPr>
      <w:i/>
      <w:snapToGrid w:val="0"/>
    </w:rPr>
  </w:style>
  <w:style w:type="paragraph" w:styleId="Titolo7">
    <w:name w:val="heading 7"/>
    <w:basedOn w:val="Normale"/>
    <w:next w:val="Corpodeltesto1"/>
    <w:link w:val="Titolo7Carattere"/>
    <w:uiPriority w:val="99"/>
    <w:qFormat/>
    <w:rsid w:val="0061793D"/>
    <w:pPr>
      <w:numPr>
        <w:ilvl w:val="6"/>
        <w:numId w:val="2"/>
      </w:numPr>
      <w:outlineLvl w:val="6"/>
    </w:pPr>
    <w:rPr>
      <w:i/>
    </w:rPr>
  </w:style>
  <w:style w:type="paragraph" w:styleId="Titolo8">
    <w:name w:val="heading 8"/>
    <w:basedOn w:val="Normale"/>
    <w:next w:val="Corpodeltesto1"/>
    <w:link w:val="Titolo8Carattere"/>
    <w:uiPriority w:val="99"/>
    <w:qFormat/>
    <w:rsid w:val="0061793D"/>
    <w:pPr>
      <w:numPr>
        <w:ilvl w:val="7"/>
        <w:numId w:val="2"/>
      </w:numPr>
      <w:outlineLvl w:val="7"/>
    </w:pPr>
    <w:rPr>
      <w:i/>
    </w:rPr>
  </w:style>
  <w:style w:type="paragraph" w:styleId="Titolo9">
    <w:name w:val="heading 9"/>
    <w:basedOn w:val="Normale"/>
    <w:next w:val="Corpodeltesto1"/>
    <w:link w:val="Titolo9Carattere"/>
    <w:uiPriority w:val="99"/>
    <w:qFormat/>
    <w:rsid w:val="0061793D"/>
    <w:pPr>
      <w:numPr>
        <w:ilvl w:val="8"/>
        <w:numId w:val="2"/>
      </w:numPr>
      <w:outlineLvl w:val="8"/>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deltesto1">
    <w:name w:val="Corpo del testo1"/>
    <w:aliases w:val=" Carattere"/>
    <w:basedOn w:val="Normale"/>
    <w:link w:val="CorpodeltestoCarattere"/>
    <w:rsid w:val="0002010E"/>
    <w:pPr>
      <w:widowControl/>
      <w:ind w:firstLine="567"/>
    </w:pPr>
    <w:rPr>
      <w:rFonts w:ascii="Times New Roman" w:hAnsi="Times New Roman"/>
      <w:sz w:val="24"/>
    </w:rPr>
  </w:style>
  <w:style w:type="paragraph" w:styleId="Sommario1">
    <w:name w:val="toc 1"/>
    <w:basedOn w:val="Normale"/>
    <w:next w:val="Normale"/>
    <w:autoRedefine/>
    <w:uiPriority w:val="39"/>
    <w:rsid w:val="00527D35"/>
    <w:pPr>
      <w:spacing w:before="360"/>
      <w:jc w:val="left"/>
    </w:pPr>
    <w:rPr>
      <w:rFonts w:asciiTheme="majorHAnsi" w:hAnsiTheme="majorHAnsi"/>
      <w:b/>
      <w:bCs/>
      <w:caps/>
      <w:sz w:val="24"/>
      <w:szCs w:val="24"/>
    </w:rPr>
  </w:style>
  <w:style w:type="paragraph" w:styleId="Pidipagina">
    <w:name w:val="footer"/>
    <w:basedOn w:val="Normale"/>
    <w:link w:val="PidipaginaCarattere"/>
    <w:uiPriority w:val="99"/>
    <w:rsid w:val="0002010E"/>
    <w:pPr>
      <w:tabs>
        <w:tab w:val="right" w:pos="8505"/>
      </w:tabs>
    </w:pPr>
  </w:style>
  <w:style w:type="paragraph" w:styleId="Intestazione">
    <w:name w:val="header"/>
    <w:basedOn w:val="Normale"/>
    <w:link w:val="IntestazioneCarattere"/>
    <w:uiPriority w:val="99"/>
    <w:rsid w:val="0002010E"/>
    <w:pPr>
      <w:pBdr>
        <w:bottom w:val="single" w:sz="2" w:space="1" w:color="auto"/>
      </w:pBdr>
      <w:tabs>
        <w:tab w:val="right" w:pos="8505"/>
      </w:tabs>
    </w:pPr>
    <w:rPr>
      <w:i/>
    </w:rPr>
  </w:style>
  <w:style w:type="paragraph" w:styleId="Sommario2">
    <w:name w:val="toc 2"/>
    <w:basedOn w:val="Normale"/>
    <w:next w:val="Normale"/>
    <w:autoRedefine/>
    <w:uiPriority w:val="99"/>
    <w:rsid w:val="0098700D"/>
    <w:pPr>
      <w:spacing w:before="240"/>
      <w:jc w:val="left"/>
    </w:pPr>
    <w:rPr>
      <w:rFonts w:asciiTheme="minorHAnsi" w:hAnsiTheme="minorHAnsi"/>
      <w:b/>
      <w:bCs/>
      <w:sz w:val="20"/>
    </w:rPr>
  </w:style>
  <w:style w:type="paragraph" w:styleId="Sommario3">
    <w:name w:val="toc 3"/>
    <w:basedOn w:val="Normale"/>
    <w:next w:val="Normale"/>
    <w:link w:val="Sommario3Carattere"/>
    <w:autoRedefine/>
    <w:uiPriority w:val="99"/>
    <w:rsid w:val="0098700D"/>
    <w:pPr>
      <w:ind w:left="220"/>
      <w:jc w:val="left"/>
    </w:pPr>
    <w:rPr>
      <w:rFonts w:asciiTheme="minorHAnsi" w:hAnsiTheme="minorHAnsi"/>
      <w:sz w:val="20"/>
    </w:rPr>
  </w:style>
  <w:style w:type="paragraph" w:styleId="Sommario4">
    <w:name w:val="toc 4"/>
    <w:basedOn w:val="Normale"/>
    <w:next w:val="Normale"/>
    <w:autoRedefine/>
    <w:uiPriority w:val="99"/>
    <w:rsid w:val="0002010E"/>
    <w:pPr>
      <w:ind w:left="440"/>
      <w:jc w:val="left"/>
    </w:pPr>
    <w:rPr>
      <w:rFonts w:asciiTheme="minorHAnsi" w:hAnsiTheme="minorHAnsi"/>
      <w:sz w:val="20"/>
    </w:rPr>
  </w:style>
  <w:style w:type="paragraph" w:styleId="Sommario5">
    <w:name w:val="toc 5"/>
    <w:basedOn w:val="Normale"/>
    <w:next w:val="Normale"/>
    <w:autoRedefine/>
    <w:uiPriority w:val="99"/>
    <w:rsid w:val="0002010E"/>
    <w:pPr>
      <w:ind w:left="660"/>
      <w:jc w:val="left"/>
    </w:pPr>
    <w:rPr>
      <w:rFonts w:asciiTheme="minorHAnsi" w:hAnsiTheme="minorHAnsi"/>
      <w:sz w:val="20"/>
    </w:rPr>
  </w:style>
  <w:style w:type="paragraph" w:styleId="Sommario6">
    <w:name w:val="toc 6"/>
    <w:basedOn w:val="Normale"/>
    <w:next w:val="Normale"/>
    <w:autoRedefine/>
    <w:uiPriority w:val="99"/>
    <w:rsid w:val="0002010E"/>
    <w:pPr>
      <w:ind w:left="880"/>
      <w:jc w:val="left"/>
    </w:pPr>
    <w:rPr>
      <w:rFonts w:asciiTheme="minorHAnsi" w:hAnsiTheme="minorHAnsi"/>
      <w:sz w:val="20"/>
    </w:rPr>
  </w:style>
  <w:style w:type="paragraph" w:styleId="Sommario7">
    <w:name w:val="toc 7"/>
    <w:basedOn w:val="Normale"/>
    <w:next w:val="Normale"/>
    <w:autoRedefine/>
    <w:uiPriority w:val="99"/>
    <w:rsid w:val="0002010E"/>
    <w:pPr>
      <w:ind w:left="1100"/>
      <w:jc w:val="left"/>
    </w:pPr>
    <w:rPr>
      <w:rFonts w:asciiTheme="minorHAnsi" w:hAnsiTheme="minorHAnsi"/>
      <w:sz w:val="20"/>
    </w:rPr>
  </w:style>
  <w:style w:type="paragraph" w:styleId="Sommario8">
    <w:name w:val="toc 8"/>
    <w:basedOn w:val="Normale"/>
    <w:next w:val="Normale"/>
    <w:autoRedefine/>
    <w:uiPriority w:val="99"/>
    <w:rsid w:val="0002010E"/>
    <w:pPr>
      <w:ind w:left="1320"/>
      <w:jc w:val="left"/>
    </w:pPr>
    <w:rPr>
      <w:rFonts w:asciiTheme="minorHAnsi" w:hAnsiTheme="minorHAnsi"/>
      <w:sz w:val="20"/>
    </w:rPr>
  </w:style>
  <w:style w:type="paragraph" w:styleId="Sommario9">
    <w:name w:val="toc 9"/>
    <w:basedOn w:val="Normale"/>
    <w:next w:val="Normale"/>
    <w:autoRedefine/>
    <w:uiPriority w:val="99"/>
    <w:rsid w:val="0002010E"/>
    <w:pPr>
      <w:ind w:left="1540"/>
      <w:jc w:val="left"/>
    </w:pPr>
    <w:rPr>
      <w:rFonts w:asciiTheme="minorHAnsi" w:hAnsiTheme="minorHAnsi"/>
      <w:sz w:val="20"/>
    </w:rPr>
  </w:style>
  <w:style w:type="paragraph" w:customStyle="1" w:styleId="TabDidascalia">
    <w:name w:val="TabDidascalia"/>
    <w:basedOn w:val="Normale"/>
    <w:rsid w:val="0002010E"/>
    <w:pPr>
      <w:keepNext/>
      <w:spacing w:before="240" w:after="120"/>
    </w:pPr>
    <w:rPr>
      <w:b/>
    </w:rPr>
  </w:style>
  <w:style w:type="paragraph" w:customStyle="1" w:styleId="TabCelle">
    <w:name w:val="TabCelle"/>
    <w:basedOn w:val="Normale"/>
    <w:rsid w:val="0002010E"/>
    <w:pPr>
      <w:widowControl/>
      <w:jc w:val="center"/>
    </w:pPr>
  </w:style>
  <w:style w:type="paragraph" w:customStyle="1" w:styleId="TabTitoli">
    <w:name w:val="TabTitoli"/>
    <w:basedOn w:val="TabCelle"/>
    <w:rsid w:val="0002010E"/>
    <w:pPr>
      <w:keepNext/>
    </w:pPr>
    <w:rPr>
      <w:b/>
      <w:bCs/>
    </w:rPr>
  </w:style>
  <w:style w:type="paragraph" w:customStyle="1" w:styleId="Titolo0">
    <w:name w:val="Titolo 0"/>
    <w:basedOn w:val="Titolo1"/>
    <w:rsid w:val="0002010E"/>
    <w:pPr>
      <w:tabs>
        <w:tab w:val="clear" w:pos="360"/>
      </w:tabs>
      <w:outlineLvl w:val="9"/>
    </w:pPr>
    <w:rPr>
      <w:bCs/>
    </w:rPr>
  </w:style>
  <w:style w:type="character" w:styleId="Collegamentoipertestuale">
    <w:name w:val="Hyperlink"/>
    <w:uiPriority w:val="99"/>
    <w:rsid w:val="00B3362B"/>
    <w:rPr>
      <w:rFonts w:ascii="Arial Narrow" w:hAnsi="Arial Narrow"/>
      <w:color w:val="0000FF"/>
      <w:sz w:val="20"/>
      <w:u w:val="single"/>
    </w:rPr>
  </w:style>
  <w:style w:type="paragraph" w:customStyle="1" w:styleId="Figura">
    <w:name w:val="Figura"/>
    <w:basedOn w:val="Normale"/>
    <w:next w:val="FigDidascalia"/>
    <w:rsid w:val="0002010E"/>
    <w:pPr>
      <w:keepNext/>
      <w:jc w:val="center"/>
    </w:pPr>
  </w:style>
  <w:style w:type="paragraph" w:customStyle="1" w:styleId="FigDidascalia">
    <w:name w:val="FigDidascalia"/>
    <w:basedOn w:val="Normale"/>
    <w:next w:val="Corpodeltesto1"/>
    <w:rsid w:val="0002010E"/>
    <w:pPr>
      <w:widowControl/>
      <w:spacing w:before="120" w:after="240"/>
      <w:jc w:val="center"/>
    </w:pPr>
    <w:rPr>
      <w:b/>
      <w:bCs/>
    </w:rPr>
  </w:style>
  <w:style w:type="paragraph" w:customStyle="1" w:styleId="Formula">
    <w:name w:val="Formula"/>
    <w:basedOn w:val="Corpodeltesto1"/>
    <w:rsid w:val="0002010E"/>
    <w:pPr>
      <w:spacing w:before="240" w:after="240"/>
      <w:ind w:firstLine="0"/>
      <w:jc w:val="center"/>
    </w:pPr>
  </w:style>
  <w:style w:type="character" w:styleId="Numeropagina">
    <w:name w:val="page number"/>
    <w:basedOn w:val="Carpredefinitoparagrafo"/>
    <w:uiPriority w:val="99"/>
    <w:rsid w:val="0002010E"/>
  </w:style>
  <w:style w:type="paragraph" w:customStyle="1" w:styleId="AICE-CDT">
    <w:name w:val="AICE-CDT"/>
    <w:basedOn w:val="Normale"/>
    <w:rsid w:val="00CC2967"/>
    <w:pPr>
      <w:numPr>
        <w:numId w:val="6"/>
      </w:numPr>
    </w:pPr>
    <w:rPr>
      <w:rFonts w:ascii="Verdana" w:hAnsi="Verdana"/>
      <w:szCs w:val="32"/>
    </w:rPr>
  </w:style>
  <w:style w:type="character" w:customStyle="1" w:styleId="CorpodeltestoCarattere">
    <w:name w:val="Corpo del testo Carattere"/>
    <w:aliases w:val=" Carattere Carattere1"/>
    <w:link w:val="Corpodeltesto1"/>
    <w:uiPriority w:val="99"/>
    <w:rsid w:val="007326DD"/>
    <w:rPr>
      <w:sz w:val="24"/>
      <w:lang w:val="it-IT" w:eastAsia="it-IT" w:bidi="ar-SA"/>
    </w:rPr>
  </w:style>
  <w:style w:type="character" w:customStyle="1" w:styleId="Titolo4Carattere1">
    <w:name w:val="Titolo 4 Carattere1"/>
    <w:aliases w:val="CAMPO Carattere Carattere1"/>
    <w:link w:val="Titolo4"/>
    <w:rsid w:val="0061793D"/>
    <w:rPr>
      <w:b/>
      <w:sz w:val="22"/>
    </w:rPr>
  </w:style>
  <w:style w:type="numbering" w:styleId="111111">
    <w:name w:val="Outline List 2"/>
    <w:basedOn w:val="Nessunelenco"/>
    <w:rsid w:val="009E4049"/>
  </w:style>
  <w:style w:type="character" w:customStyle="1" w:styleId="Titolo5Carattere">
    <w:name w:val="Titolo 5 Carattere"/>
    <w:aliases w:val="ARTICOLO Carattere"/>
    <w:link w:val="Titolo5"/>
    <w:uiPriority w:val="9"/>
    <w:rsid w:val="0061793D"/>
    <w:rPr>
      <w:rFonts w:ascii="Arial" w:hAnsi="Arial"/>
      <w:i/>
      <w:sz w:val="22"/>
    </w:rPr>
  </w:style>
  <w:style w:type="character" w:customStyle="1" w:styleId="Titolo6Carattere1">
    <w:name w:val="Titolo 6 Carattere1"/>
    <w:link w:val="Titolo6"/>
    <w:rsid w:val="0061793D"/>
    <w:rPr>
      <w:rFonts w:ascii="Arial" w:hAnsi="Arial"/>
      <w:i/>
      <w:snapToGrid w:val="0"/>
      <w:sz w:val="22"/>
    </w:rPr>
  </w:style>
  <w:style w:type="table" w:styleId="Grigliatabella">
    <w:name w:val="Table Grid"/>
    <w:basedOn w:val="Tabellanormale"/>
    <w:uiPriority w:val="59"/>
    <w:rsid w:val="007326D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link w:val="MappadocumentoCarattere"/>
    <w:uiPriority w:val="99"/>
    <w:rsid w:val="007326DD"/>
    <w:pPr>
      <w:shd w:val="clear" w:color="auto" w:fill="000080"/>
    </w:pPr>
    <w:rPr>
      <w:rFonts w:ascii="Tahoma" w:hAnsi="Tahoma" w:cs="Tahoma"/>
    </w:rPr>
  </w:style>
  <w:style w:type="paragraph" w:customStyle="1" w:styleId="TabDidascaliaCarattere">
    <w:name w:val="TabDidascalia Carattere"/>
    <w:basedOn w:val="Normale"/>
    <w:link w:val="TabDidascaliaCarattereCarattere"/>
    <w:rsid w:val="007326DD"/>
    <w:pPr>
      <w:keepNext/>
      <w:spacing w:before="240" w:after="120"/>
    </w:pPr>
    <w:rPr>
      <w:b/>
    </w:rPr>
  </w:style>
  <w:style w:type="character" w:customStyle="1" w:styleId="TabDidascaliaCarattereCarattere">
    <w:name w:val="TabDidascalia Carattere Carattere"/>
    <w:link w:val="TabDidascaliaCarattere"/>
    <w:rsid w:val="007326DD"/>
    <w:rPr>
      <w:b/>
      <w:lang w:val="it-IT" w:eastAsia="it-IT" w:bidi="ar-SA"/>
    </w:rPr>
  </w:style>
  <w:style w:type="paragraph" w:styleId="Rientrocorpodeltesto">
    <w:name w:val="Body Text Indent"/>
    <w:basedOn w:val="Normale"/>
    <w:link w:val="RientrocorpodeltestoCarattere"/>
    <w:uiPriority w:val="99"/>
    <w:rsid w:val="00617B83"/>
    <w:pPr>
      <w:spacing w:after="120"/>
      <w:ind w:left="283"/>
    </w:pPr>
    <w:rPr>
      <w:sz w:val="24"/>
    </w:rPr>
  </w:style>
  <w:style w:type="paragraph" w:customStyle="1" w:styleId="Capitolato-Titolo6">
    <w:name w:val="Capitolato - Titolo 6"/>
    <w:basedOn w:val="Titolo6"/>
    <w:rsid w:val="00D9198B"/>
    <w:pPr>
      <w:numPr>
        <w:numId w:val="3"/>
      </w:numPr>
    </w:pPr>
    <w:rPr>
      <w:rFonts w:ascii="Montserrat Light" w:hAnsi="Montserrat Light"/>
    </w:rPr>
  </w:style>
  <w:style w:type="paragraph" w:customStyle="1" w:styleId="Articolo">
    <w:name w:val="Articolo"/>
    <w:basedOn w:val="Normale"/>
    <w:autoRedefine/>
    <w:rsid w:val="00617B83"/>
    <w:pPr>
      <w:widowControl/>
      <w:ind w:left="322" w:hanging="322"/>
      <w:jc w:val="center"/>
    </w:pPr>
  </w:style>
  <w:style w:type="character" w:styleId="Enfasigrassetto">
    <w:name w:val="Strong"/>
    <w:uiPriority w:val="99"/>
    <w:qFormat/>
    <w:rsid w:val="007326DD"/>
    <w:rPr>
      <w:b/>
      <w:bCs/>
    </w:rPr>
  </w:style>
  <w:style w:type="character" w:styleId="Rimandonotaapidipagina">
    <w:name w:val="footnote reference"/>
    <w:uiPriority w:val="99"/>
    <w:rsid w:val="007326DD"/>
    <w:rPr>
      <w:position w:val="6"/>
      <w:sz w:val="16"/>
    </w:rPr>
  </w:style>
  <w:style w:type="paragraph" w:styleId="Testonotaapidipagina">
    <w:name w:val="footnote text"/>
    <w:basedOn w:val="Normale"/>
    <w:link w:val="TestonotaapidipaginaCarattere"/>
    <w:uiPriority w:val="99"/>
    <w:rsid w:val="007326DD"/>
    <w:pPr>
      <w:widowControl/>
    </w:pPr>
    <w:rPr>
      <w:rFonts w:ascii="Times" w:hAnsi="Times"/>
    </w:rPr>
  </w:style>
  <w:style w:type="paragraph" w:styleId="NormaleWeb">
    <w:name w:val="Normal (Web)"/>
    <w:basedOn w:val="Normale"/>
    <w:uiPriority w:val="99"/>
    <w:rsid w:val="007326DD"/>
    <w:pPr>
      <w:widowControl/>
      <w:spacing w:before="100" w:beforeAutospacing="1" w:after="100" w:afterAutospacing="1"/>
    </w:pPr>
    <w:rPr>
      <w:color w:val="000000"/>
      <w:szCs w:val="24"/>
    </w:rPr>
  </w:style>
  <w:style w:type="paragraph" w:styleId="Testodelblocco">
    <w:name w:val="Block Text"/>
    <w:basedOn w:val="Normale"/>
    <w:uiPriority w:val="99"/>
    <w:rsid w:val="00617B83"/>
    <w:pPr>
      <w:widowControl/>
      <w:tabs>
        <w:tab w:val="right" w:pos="9214"/>
      </w:tabs>
      <w:ind w:left="284" w:right="2" w:hanging="284"/>
    </w:pPr>
  </w:style>
  <w:style w:type="paragraph" w:styleId="Testonotadichiusura">
    <w:name w:val="endnote text"/>
    <w:basedOn w:val="Normale"/>
    <w:link w:val="TestonotadichiusuraCarattere"/>
    <w:uiPriority w:val="99"/>
    <w:rsid w:val="00617B83"/>
    <w:pPr>
      <w:widowControl/>
    </w:pPr>
  </w:style>
  <w:style w:type="paragraph" w:styleId="Indice1">
    <w:name w:val="index 1"/>
    <w:basedOn w:val="Normale"/>
    <w:next w:val="Normale"/>
    <w:autoRedefine/>
    <w:uiPriority w:val="99"/>
    <w:rsid w:val="007326DD"/>
    <w:pPr>
      <w:ind w:left="240" w:hanging="240"/>
    </w:pPr>
  </w:style>
  <w:style w:type="paragraph" w:styleId="Titoloindice">
    <w:name w:val="index heading"/>
    <w:basedOn w:val="Normale"/>
    <w:next w:val="Indice1"/>
    <w:uiPriority w:val="99"/>
    <w:rsid w:val="007326DD"/>
    <w:pPr>
      <w:widowControl/>
      <w:ind w:firstLine="340"/>
    </w:pPr>
  </w:style>
  <w:style w:type="character" w:styleId="Rimandonotadichiusura">
    <w:name w:val="endnote reference"/>
    <w:uiPriority w:val="99"/>
    <w:rsid w:val="00617B83"/>
    <w:rPr>
      <w:vertAlign w:val="superscript"/>
    </w:rPr>
  </w:style>
  <w:style w:type="paragraph" w:customStyle="1" w:styleId="Capitolato-Corpodeltesto">
    <w:name w:val="Capitolato - Corpo del testo"/>
    <w:basedOn w:val="Corpodeltesto1"/>
    <w:link w:val="Capitolato-CorpodeltestoCarattere"/>
    <w:rsid w:val="00C946D5"/>
    <w:pPr>
      <w:ind w:firstLine="0"/>
    </w:pPr>
    <w:rPr>
      <w:rFonts w:ascii="Montserrat Light" w:hAnsi="Montserrat Light"/>
      <w:snapToGrid w:val="0"/>
      <w:sz w:val="16"/>
    </w:rPr>
  </w:style>
  <w:style w:type="character" w:customStyle="1" w:styleId="Capitolato-CorpodeltestoCarattere">
    <w:name w:val="Capitolato - Corpo del testo Carattere"/>
    <w:link w:val="Capitolato-Corpodeltesto"/>
    <w:rsid w:val="00C946D5"/>
    <w:rPr>
      <w:rFonts w:ascii="Montserrat Light" w:hAnsi="Montserrat Light"/>
      <w:snapToGrid w:val="0"/>
      <w:sz w:val="16"/>
    </w:rPr>
  </w:style>
  <w:style w:type="paragraph" w:customStyle="1" w:styleId="StileCorpodeltesto10pt">
    <w:name w:val="Stile Corpo del testo + 10 pt"/>
    <w:basedOn w:val="Corpodeltesto1"/>
    <w:rsid w:val="00883BBE"/>
  </w:style>
  <w:style w:type="paragraph" w:styleId="Testofumetto">
    <w:name w:val="Balloon Text"/>
    <w:basedOn w:val="Normale"/>
    <w:link w:val="TestofumettoCarattere"/>
    <w:uiPriority w:val="99"/>
    <w:rsid w:val="007326DD"/>
    <w:rPr>
      <w:rFonts w:ascii="Tahoma" w:hAnsi="Tahoma"/>
      <w:szCs w:val="16"/>
    </w:rPr>
  </w:style>
  <w:style w:type="paragraph" w:customStyle="1" w:styleId="Capitolato-Titolo1">
    <w:name w:val="Capitolato - Titolo 1"/>
    <w:basedOn w:val="Titolo1"/>
    <w:next w:val="Capitolato-Titolo2"/>
    <w:rsid w:val="00597CBD"/>
    <w:pPr>
      <w:numPr>
        <w:numId w:val="3"/>
      </w:numPr>
      <w:tabs>
        <w:tab w:val="left" w:pos="1560"/>
      </w:tabs>
      <w:spacing w:before="360" w:after="120"/>
    </w:pPr>
    <w:rPr>
      <w:rFonts w:ascii="Montserrat Light" w:hAnsi="Montserrat Light"/>
      <w:caps w:val="0"/>
      <w:snapToGrid w:val="0"/>
      <w:sz w:val="24"/>
      <w:szCs w:val="24"/>
    </w:rPr>
  </w:style>
  <w:style w:type="paragraph" w:customStyle="1" w:styleId="Capitolato-Titolo2">
    <w:name w:val="Capitolato - Titolo 2"/>
    <w:basedOn w:val="Titolo2"/>
    <w:next w:val="Capitolato-Titolo3"/>
    <w:rsid w:val="00EE3019"/>
    <w:pPr>
      <w:numPr>
        <w:numId w:val="3"/>
      </w:numPr>
      <w:jc w:val="left"/>
    </w:pPr>
    <w:rPr>
      <w:rFonts w:ascii="Montserrat Light" w:hAnsi="Montserrat Light"/>
      <w:sz w:val="24"/>
      <w:szCs w:val="24"/>
      <w:u w:val="single"/>
    </w:rPr>
  </w:style>
  <w:style w:type="paragraph" w:customStyle="1" w:styleId="Capitolato-Titolo3">
    <w:name w:val="Capitolato - Titolo 3"/>
    <w:basedOn w:val="Titolo3"/>
    <w:next w:val="Capitolato-Titolo4"/>
    <w:link w:val="Capitolato-Titolo3CarattereCarattere"/>
    <w:rsid w:val="00FF70F2"/>
    <w:pPr>
      <w:keepLines/>
      <w:numPr>
        <w:numId w:val="3"/>
      </w:numPr>
      <w:spacing w:before="120"/>
    </w:pPr>
    <w:rPr>
      <w:rFonts w:ascii="Montserrat Light" w:hAnsi="Montserrat Light"/>
      <w:i/>
      <w:sz w:val="20"/>
      <w:u w:val="single"/>
    </w:rPr>
  </w:style>
  <w:style w:type="character" w:customStyle="1" w:styleId="Capitolato-Titolo3CarattereCarattere">
    <w:name w:val="Capitolato - Titolo 3 Carattere Carattere"/>
    <w:link w:val="Capitolato-Titolo3"/>
    <w:rsid w:val="00FF70F2"/>
    <w:rPr>
      <w:rFonts w:ascii="Montserrat Light" w:hAnsi="Montserrat Light"/>
      <w:i/>
      <w:iCs/>
      <w:u w:val="single"/>
    </w:rPr>
  </w:style>
  <w:style w:type="paragraph" w:customStyle="1" w:styleId="Capitolato-Titolo4">
    <w:name w:val="Capitolato - Titolo 4"/>
    <w:basedOn w:val="Titolo4"/>
    <w:next w:val="Capitolato-Titolo5"/>
    <w:link w:val="Capitolato-Titolo4CarattereCarattere"/>
    <w:rsid w:val="00FA7FC1"/>
    <w:pPr>
      <w:widowControl/>
      <w:numPr>
        <w:numId w:val="3"/>
      </w:numPr>
      <w:spacing w:after="240"/>
      <w:outlineLvl w:val="9"/>
    </w:pPr>
    <w:rPr>
      <w:rFonts w:ascii="Montserrat Light" w:hAnsi="Montserrat Light"/>
      <w:b w:val="0"/>
      <w:snapToGrid w:val="0"/>
      <w:sz w:val="20"/>
    </w:rPr>
  </w:style>
  <w:style w:type="character" w:customStyle="1" w:styleId="Capitolato-Titolo4CarattereCarattere">
    <w:name w:val="Capitolato - Titolo 4 Carattere Carattere"/>
    <w:link w:val="Capitolato-Titolo4"/>
    <w:rsid w:val="00FA7FC1"/>
    <w:rPr>
      <w:rFonts w:ascii="Montserrat Light" w:hAnsi="Montserrat Light"/>
      <w:snapToGrid w:val="0"/>
    </w:rPr>
  </w:style>
  <w:style w:type="paragraph" w:customStyle="1" w:styleId="Capitolato-Titolo5">
    <w:name w:val="Capitolato - Titolo 5"/>
    <w:basedOn w:val="Titolo5"/>
    <w:next w:val="Capitolato-Titolo6"/>
    <w:rsid w:val="00FA7FC1"/>
    <w:pPr>
      <w:numPr>
        <w:numId w:val="3"/>
      </w:numPr>
    </w:pPr>
    <w:rPr>
      <w:rFonts w:ascii="Montserrat Light" w:hAnsi="Montserrat Light"/>
      <w:szCs w:val="16"/>
    </w:rPr>
  </w:style>
  <w:style w:type="paragraph" w:customStyle="1" w:styleId="StileCorpodeltesto10ptPrimariga0cm">
    <w:name w:val="Stile Corpo del testo + 10 pt Prima riga:  0 cm"/>
    <w:basedOn w:val="Corpodeltesto1"/>
    <w:rsid w:val="0008619B"/>
    <w:pPr>
      <w:ind w:firstLine="0"/>
    </w:pPr>
  </w:style>
  <w:style w:type="paragraph" w:styleId="Corpodeltesto2">
    <w:name w:val="Body Text 2"/>
    <w:basedOn w:val="Normale"/>
    <w:link w:val="Corpodeltesto2Carattere"/>
    <w:uiPriority w:val="99"/>
    <w:rsid w:val="0090415D"/>
    <w:pPr>
      <w:spacing w:after="120" w:line="480" w:lineRule="auto"/>
    </w:pPr>
    <w:rPr>
      <w:sz w:val="24"/>
    </w:rPr>
  </w:style>
  <w:style w:type="paragraph" w:customStyle="1" w:styleId="schedetesto">
    <w:name w:val="schede testo"/>
    <w:basedOn w:val="Normale"/>
    <w:next w:val="Normale"/>
    <w:rsid w:val="0014149F"/>
    <w:pPr>
      <w:widowControl/>
    </w:pPr>
    <w:rPr>
      <w:rFonts w:cs="Arial"/>
      <w:szCs w:val="24"/>
    </w:rPr>
  </w:style>
  <w:style w:type="paragraph" w:customStyle="1" w:styleId="CM2">
    <w:name w:val="CM2"/>
    <w:basedOn w:val="Normale"/>
    <w:next w:val="Normale"/>
    <w:rsid w:val="008A64F4"/>
    <w:pPr>
      <w:autoSpaceDE w:val="0"/>
      <w:autoSpaceDN w:val="0"/>
      <w:adjustRightInd w:val="0"/>
      <w:spacing w:line="260" w:lineRule="atLeast"/>
    </w:pPr>
    <w:rPr>
      <w:rFonts w:ascii="Helvetica" w:hAnsi="Helvetica"/>
      <w:szCs w:val="24"/>
    </w:rPr>
  </w:style>
  <w:style w:type="paragraph" w:styleId="Corpodeltesto3">
    <w:name w:val="Body Text 3"/>
    <w:basedOn w:val="Normale"/>
    <w:link w:val="Corpodeltesto3Carattere"/>
    <w:uiPriority w:val="99"/>
    <w:rsid w:val="008A64F4"/>
    <w:pPr>
      <w:spacing w:after="120"/>
    </w:pPr>
    <w:rPr>
      <w:szCs w:val="16"/>
    </w:rPr>
  </w:style>
  <w:style w:type="paragraph" w:styleId="Testonormale">
    <w:name w:val="Plain Text"/>
    <w:basedOn w:val="Normale"/>
    <w:link w:val="TestonormaleCarattere"/>
    <w:uiPriority w:val="99"/>
    <w:rsid w:val="008A64F4"/>
    <w:pPr>
      <w:widowControl/>
    </w:pPr>
    <w:rPr>
      <w:rFonts w:ascii="Courier New" w:hAnsi="Courier New" w:cs="Courier New"/>
      <w:sz w:val="24"/>
      <w:lang w:val="en-US"/>
    </w:rPr>
  </w:style>
  <w:style w:type="character" w:customStyle="1" w:styleId="TestonormaleCarattere">
    <w:name w:val="Testo normale Carattere"/>
    <w:link w:val="Testonormale"/>
    <w:uiPriority w:val="99"/>
    <w:locked/>
    <w:rsid w:val="008A64F4"/>
    <w:rPr>
      <w:rFonts w:ascii="Courier New" w:hAnsi="Courier New" w:cs="Courier New"/>
      <w:sz w:val="24"/>
      <w:lang w:val="en-US" w:eastAsia="it-IT" w:bidi="ar-SA"/>
    </w:rPr>
  </w:style>
  <w:style w:type="character" w:customStyle="1" w:styleId="content1">
    <w:name w:val="content1"/>
    <w:rsid w:val="002F23F5"/>
    <w:rPr>
      <w:rFonts w:ascii="Verdana" w:hAnsi="Verdana" w:hint="default"/>
      <w:sz w:val="20"/>
      <w:szCs w:val="20"/>
    </w:rPr>
  </w:style>
  <w:style w:type="paragraph" w:styleId="Rientrocorpodeltesto2">
    <w:name w:val="Body Text Indent 2"/>
    <w:basedOn w:val="Normale"/>
    <w:link w:val="Rientrocorpodeltesto2Carattere"/>
    <w:uiPriority w:val="99"/>
    <w:rsid w:val="00C122E2"/>
    <w:pPr>
      <w:spacing w:after="120" w:line="480" w:lineRule="auto"/>
      <w:ind w:left="283"/>
    </w:pPr>
    <w:rPr>
      <w:sz w:val="24"/>
    </w:rPr>
  </w:style>
  <w:style w:type="paragraph" w:customStyle="1" w:styleId="Articoli">
    <w:name w:val="Articoli"/>
    <w:basedOn w:val="Normale"/>
    <w:rsid w:val="000D09A2"/>
    <w:pPr>
      <w:widowControl/>
      <w:pBdr>
        <w:top w:val="single" w:sz="6" w:space="1" w:color="auto"/>
        <w:bottom w:val="single" w:sz="6" w:space="1" w:color="auto"/>
      </w:pBdr>
      <w:shd w:val="clear" w:color="auto" w:fill="FFFFCC"/>
      <w:suppressAutoHyphens/>
      <w:spacing w:before="600" w:line="300" w:lineRule="exact"/>
      <w:ind w:left="2517" w:hanging="1077"/>
      <w:outlineLvl w:val="1"/>
    </w:pPr>
    <w:rPr>
      <w:rFonts w:ascii="Century Gothic" w:hAnsi="Century Gothic"/>
      <w:b/>
      <w:smallCaps/>
      <w:snapToGrid w:val="0"/>
      <w:szCs w:val="24"/>
    </w:rPr>
  </w:style>
  <w:style w:type="paragraph" w:customStyle="1" w:styleId="sottoart">
    <w:name w:val="sottoart"/>
    <w:basedOn w:val="Normale"/>
    <w:rsid w:val="000D09A2"/>
    <w:pPr>
      <w:widowControl/>
      <w:pBdr>
        <w:bottom w:val="single" w:sz="6" w:space="1" w:color="auto"/>
      </w:pBdr>
      <w:tabs>
        <w:tab w:val="left" w:pos="3240"/>
      </w:tabs>
      <w:suppressAutoHyphens/>
      <w:spacing w:before="120" w:line="300" w:lineRule="exact"/>
      <w:ind w:left="1985"/>
      <w:outlineLvl w:val="3"/>
    </w:pPr>
    <w:rPr>
      <w:rFonts w:ascii="Century Gothic" w:hAnsi="Century Gothic"/>
      <w:b/>
      <w:smallCaps/>
      <w:snapToGrid w:val="0"/>
    </w:rPr>
  </w:style>
  <w:style w:type="paragraph" w:customStyle="1" w:styleId="Articolisotto">
    <w:name w:val="Articoli_sotto"/>
    <w:basedOn w:val="Articoli"/>
    <w:rsid w:val="000D09A2"/>
    <w:pPr>
      <w:shd w:val="clear" w:color="auto" w:fill="BBDDFF"/>
      <w:spacing w:after="360"/>
      <w:ind w:left="2699" w:hanging="720"/>
      <w:outlineLvl w:val="2"/>
    </w:pPr>
    <w:rPr>
      <w:szCs w:val="22"/>
    </w:rPr>
  </w:style>
  <w:style w:type="character" w:customStyle="1" w:styleId="ArticolisottoCarattere">
    <w:name w:val="Articoli_sotto Carattere"/>
    <w:rsid w:val="000D09A2"/>
    <w:rPr>
      <w:rFonts w:ascii="Century Gothic" w:hAnsi="Century Gothic"/>
      <w:b/>
      <w:smallCaps/>
      <w:snapToGrid w:val="0"/>
      <w:sz w:val="22"/>
      <w:szCs w:val="22"/>
      <w:lang w:val="it-IT" w:eastAsia="it-IT" w:bidi="ar-SA"/>
    </w:rPr>
  </w:style>
  <w:style w:type="paragraph" w:customStyle="1" w:styleId="Articoliprima">
    <w:name w:val="Articoli_prima"/>
    <w:basedOn w:val="Normale"/>
    <w:rsid w:val="000D09A2"/>
    <w:pPr>
      <w:widowControl/>
      <w:ind w:left="1985"/>
    </w:pPr>
    <w:rPr>
      <w:rFonts w:ascii="Century Gothic" w:hAnsi="Century Gothic"/>
      <w:sz w:val="18"/>
    </w:rPr>
  </w:style>
  <w:style w:type="character" w:customStyle="1" w:styleId="Titolo4Carattere">
    <w:name w:val="Titolo 4 Carattere"/>
    <w:aliases w:val="CAMPO Carattere Carattere"/>
    <w:uiPriority w:val="99"/>
    <w:rsid w:val="00290044"/>
    <w:rPr>
      <w:b/>
      <w:lang w:val="it-IT" w:eastAsia="it-IT" w:bidi="ar-SA"/>
    </w:rPr>
  </w:style>
  <w:style w:type="character" w:customStyle="1" w:styleId="Titolo5CarattereCarattere">
    <w:name w:val="Titolo 5 Carattere Carattere"/>
    <w:rsid w:val="00290044"/>
    <w:rPr>
      <w:i/>
      <w:lang w:val="it-IT" w:eastAsia="it-IT" w:bidi="ar-SA"/>
    </w:rPr>
  </w:style>
  <w:style w:type="character" w:customStyle="1" w:styleId="Titolo6Carattere">
    <w:name w:val="Titolo 6 Carattere"/>
    <w:uiPriority w:val="9"/>
    <w:rsid w:val="00290044"/>
    <w:rPr>
      <w:i/>
      <w:snapToGrid w:val="0"/>
      <w:lang w:val="it-IT" w:eastAsia="it-IT" w:bidi="ar-SA"/>
    </w:rPr>
  </w:style>
  <w:style w:type="character" w:customStyle="1" w:styleId="IntestazioneCarattere">
    <w:name w:val="Intestazione Carattere"/>
    <w:link w:val="Intestazione"/>
    <w:uiPriority w:val="99"/>
    <w:rsid w:val="00425062"/>
    <w:rPr>
      <w:i/>
    </w:rPr>
  </w:style>
  <w:style w:type="character" w:customStyle="1" w:styleId="PidipaginaCarattere">
    <w:name w:val="Piè di pagina Carattere"/>
    <w:link w:val="Pidipagina"/>
    <w:uiPriority w:val="99"/>
    <w:rsid w:val="00425062"/>
    <w:rPr>
      <w:sz w:val="16"/>
    </w:rPr>
  </w:style>
  <w:style w:type="character" w:customStyle="1" w:styleId="Titolo1Carattere">
    <w:name w:val="Titolo 1 Carattere"/>
    <w:aliases w:val="PARTE Carattere"/>
    <w:link w:val="Titolo1"/>
    <w:uiPriority w:val="99"/>
    <w:rsid w:val="00F72B12"/>
    <w:rPr>
      <w:rFonts w:ascii="Arial" w:hAnsi="Arial" w:cs="Arial"/>
      <w:b/>
      <w:caps/>
      <w:sz w:val="22"/>
    </w:rPr>
  </w:style>
  <w:style w:type="character" w:customStyle="1" w:styleId="Titolo2Carattere">
    <w:name w:val="Titolo 2 Carattere"/>
    <w:aliases w:val="TITOLO Carattere"/>
    <w:link w:val="Titolo2"/>
    <w:uiPriority w:val="99"/>
    <w:rsid w:val="0003195A"/>
    <w:rPr>
      <w:rFonts w:ascii="Arial" w:hAnsi="Arial"/>
      <w:b/>
      <w:sz w:val="22"/>
    </w:rPr>
  </w:style>
  <w:style w:type="character" w:customStyle="1" w:styleId="Titolo3Carattere">
    <w:name w:val="Titolo 3 Carattere"/>
    <w:aliases w:val="CAPO Carattere Carattere"/>
    <w:link w:val="Titolo3"/>
    <w:uiPriority w:val="9"/>
    <w:rsid w:val="00117A3F"/>
    <w:rPr>
      <w:rFonts w:ascii="Arial" w:hAnsi="Arial"/>
      <w:iCs/>
      <w:sz w:val="22"/>
    </w:rPr>
  </w:style>
  <w:style w:type="character" w:customStyle="1" w:styleId="Titolo7Carattere">
    <w:name w:val="Titolo 7 Carattere"/>
    <w:link w:val="Titolo7"/>
    <w:uiPriority w:val="9"/>
    <w:rsid w:val="001E0379"/>
    <w:rPr>
      <w:rFonts w:ascii="Arial" w:hAnsi="Arial"/>
      <w:i/>
      <w:sz w:val="22"/>
    </w:rPr>
  </w:style>
  <w:style w:type="character" w:customStyle="1" w:styleId="Titolo8Carattere">
    <w:name w:val="Titolo 8 Carattere"/>
    <w:link w:val="Titolo8"/>
    <w:uiPriority w:val="9"/>
    <w:rsid w:val="001E0379"/>
    <w:rPr>
      <w:rFonts w:ascii="Arial" w:hAnsi="Arial"/>
      <w:i/>
      <w:sz w:val="22"/>
    </w:rPr>
  </w:style>
  <w:style w:type="character" w:customStyle="1" w:styleId="Titolo9Carattere">
    <w:name w:val="Titolo 9 Carattere"/>
    <w:link w:val="Titolo9"/>
    <w:uiPriority w:val="9"/>
    <w:rsid w:val="001E0379"/>
    <w:rPr>
      <w:rFonts w:ascii="Arial" w:hAnsi="Arial"/>
      <w:i/>
      <w:sz w:val="22"/>
    </w:rPr>
  </w:style>
  <w:style w:type="character" w:styleId="Collegamentovisitato">
    <w:name w:val="FollowedHyperlink"/>
    <w:uiPriority w:val="99"/>
    <w:unhideWhenUsed/>
    <w:rsid w:val="001E0379"/>
    <w:rPr>
      <w:color w:val="800080"/>
      <w:u w:val="single"/>
    </w:rPr>
  </w:style>
  <w:style w:type="character" w:customStyle="1" w:styleId="Sommario3Carattere">
    <w:name w:val="Sommario 3 Carattere"/>
    <w:link w:val="Sommario3"/>
    <w:uiPriority w:val="39"/>
    <w:locked/>
    <w:rsid w:val="0098700D"/>
    <w:rPr>
      <w:rFonts w:asciiTheme="minorHAnsi" w:hAnsiTheme="minorHAnsi"/>
    </w:rPr>
  </w:style>
  <w:style w:type="character" w:customStyle="1" w:styleId="TestonotaapidipaginaCarattere">
    <w:name w:val="Testo nota a piè di pagina Carattere"/>
    <w:link w:val="Testonotaapidipagina"/>
    <w:uiPriority w:val="99"/>
    <w:rsid w:val="001E0379"/>
    <w:rPr>
      <w:rFonts w:ascii="Times" w:hAnsi="Times"/>
    </w:rPr>
  </w:style>
  <w:style w:type="paragraph" w:styleId="Didascalia">
    <w:name w:val="caption"/>
    <w:aliases w:val="Didascal,Map,figura,IN,Didascalia Carattere Carattere Carattere,Didascalia Carattere Carattere,Didascalia Carattere Carattere Carattere Carattere Carattere Carattere,Map Carattere Carattere Carattere1,Carattere"/>
    <w:basedOn w:val="Normale"/>
    <w:next w:val="Normale"/>
    <w:uiPriority w:val="99"/>
    <w:unhideWhenUsed/>
    <w:qFormat/>
    <w:rsid w:val="001E0379"/>
    <w:pPr>
      <w:widowControl/>
      <w:spacing w:before="120" w:after="120"/>
    </w:pPr>
    <w:rPr>
      <w:b/>
      <w:bCs/>
    </w:rPr>
  </w:style>
  <w:style w:type="character" w:customStyle="1" w:styleId="RientrocorpodeltestoCarattere">
    <w:name w:val="Rientro corpo del testo Carattere"/>
    <w:link w:val="Rientrocorpodeltesto"/>
    <w:uiPriority w:val="99"/>
    <w:rsid w:val="001E0379"/>
    <w:rPr>
      <w:sz w:val="24"/>
    </w:rPr>
  </w:style>
  <w:style w:type="character" w:customStyle="1" w:styleId="Corpodeltesto2Carattere">
    <w:name w:val="Corpo del testo 2 Carattere"/>
    <w:link w:val="Corpodeltesto2"/>
    <w:uiPriority w:val="99"/>
    <w:rsid w:val="001E0379"/>
    <w:rPr>
      <w:sz w:val="24"/>
    </w:rPr>
  </w:style>
  <w:style w:type="character" w:customStyle="1" w:styleId="Corpodeltesto3Carattere">
    <w:name w:val="Corpo del testo 3 Carattere"/>
    <w:link w:val="Corpodeltesto3"/>
    <w:uiPriority w:val="99"/>
    <w:rsid w:val="001E0379"/>
    <w:rPr>
      <w:sz w:val="16"/>
      <w:szCs w:val="16"/>
    </w:rPr>
  </w:style>
  <w:style w:type="character" w:customStyle="1" w:styleId="Rientrocorpodeltesto2Carattere">
    <w:name w:val="Rientro corpo del testo 2 Carattere"/>
    <w:link w:val="Rientrocorpodeltesto2"/>
    <w:uiPriority w:val="99"/>
    <w:rsid w:val="001E0379"/>
    <w:rPr>
      <w:sz w:val="24"/>
    </w:rPr>
  </w:style>
  <w:style w:type="paragraph" w:styleId="Rientrocorpodeltesto3">
    <w:name w:val="Body Text Indent 3"/>
    <w:basedOn w:val="Normale"/>
    <w:link w:val="Rientrocorpodeltesto3Carattere"/>
    <w:uiPriority w:val="99"/>
    <w:unhideWhenUsed/>
    <w:rsid w:val="001E0379"/>
    <w:pPr>
      <w:widowControl/>
      <w:spacing w:after="120"/>
      <w:ind w:left="283"/>
    </w:pPr>
    <w:rPr>
      <w:szCs w:val="16"/>
    </w:rPr>
  </w:style>
  <w:style w:type="character" w:customStyle="1" w:styleId="Rientrocorpodeltesto3Carattere">
    <w:name w:val="Rientro corpo del testo 3 Carattere"/>
    <w:link w:val="Rientrocorpodeltesto3"/>
    <w:uiPriority w:val="99"/>
    <w:rsid w:val="001E0379"/>
    <w:rPr>
      <w:sz w:val="16"/>
      <w:szCs w:val="16"/>
    </w:rPr>
  </w:style>
  <w:style w:type="character" w:customStyle="1" w:styleId="TestofumettoCarattere">
    <w:name w:val="Testo fumetto Carattere"/>
    <w:link w:val="Testofumetto"/>
    <w:uiPriority w:val="99"/>
    <w:rsid w:val="001E0379"/>
    <w:rPr>
      <w:rFonts w:ascii="Tahoma" w:hAnsi="Tahoma" w:cs="Tahoma"/>
      <w:sz w:val="16"/>
      <w:szCs w:val="16"/>
    </w:rPr>
  </w:style>
  <w:style w:type="paragraph" w:styleId="Paragrafoelenco">
    <w:name w:val="List Paragraph"/>
    <w:basedOn w:val="Normale"/>
    <w:uiPriority w:val="99"/>
    <w:qFormat/>
    <w:rsid w:val="001E0379"/>
    <w:pPr>
      <w:widowControl/>
      <w:ind w:left="708"/>
    </w:pPr>
    <w:rPr>
      <w:szCs w:val="24"/>
    </w:rPr>
  </w:style>
  <w:style w:type="paragraph" w:customStyle="1" w:styleId="StileIntestazioneVerdana11ptGiustificatoPrimariga12">
    <w:name w:val="Stile Intestazione + Verdana 11 pt Giustificato Prima riga:  12..."/>
    <w:basedOn w:val="Intestazione"/>
    <w:rsid w:val="001E0379"/>
    <w:pPr>
      <w:widowControl/>
      <w:pBdr>
        <w:bottom w:val="none" w:sz="0" w:space="0" w:color="auto"/>
      </w:pBdr>
      <w:tabs>
        <w:tab w:val="clear" w:pos="8505"/>
        <w:tab w:val="center" w:pos="4819"/>
        <w:tab w:val="right" w:pos="9638"/>
      </w:tabs>
      <w:spacing w:line="360" w:lineRule="auto"/>
      <w:ind w:firstLine="708"/>
    </w:pPr>
    <w:rPr>
      <w:rFonts w:ascii="Calibri" w:hAnsi="Calibri"/>
      <w:i w:val="0"/>
    </w:rPr>
  </w:style>
  <w:style w:type="paragraph" w:customStyle="1" w:styleId="StileGiustificatoInterlinea15righe">
    <w:name w:val="Stile Giustificato Interlinea 15 righe"/>
    <w:basedOn w:val="Normale"/>
    <w:rsid w:val="001E0379"/>
    <w:pPr>
      <w:widowControl/>
      <w:spacing w:line="360" w:lineRule="auto"/>
    </w:pPr>
    <w:rPr>
      <w:rFonts w:ascii="Verdana" w:hAnsi="Verdana"/>
    </w:rPr>
  </w:style>
  <w:style w:type="paragraph" w:customStyle="1" w:styleId="StileDidascaliaCentrato">
    <w:name w:val="Stile Didascalia + Centrato"/>
    <w:basedOn w:val="Didascalia"/>
    <w:rsid w:val="001E0379"/>
    <w:pPr>
      <w:spacing w:before="0" w:after="0"/>
      <w:jc w:val="center"/>
    </w:pPr>
    <w:rPr>
      <w:rFonts w:ascii="Book Antiqua" w:hAnsi="Book Antiqua"/>
      <w:b w:val="0"/>
      <w:iCs/>
      <w:sz w:val="24"/>
    </w:rPr>
  </w:style>
  <w:style w:type="character" w:customStyle="1" w:styleId="liv1Carattere">
    <w:name w:val="liv1 Carattere"/>
    <w:link w:val="liv1"/>
    <w:locked/>
    <w:rsid w:val="001E0379"/>
    <w:rPr>
      <w:b/>
      <w:iCs/>
      <w:sz w:val="24"/>
      <w:szCs w:val="24"/>
    </w:rPr>
  </w:style>
  <w:style w:type="paragraph" w:customStyle="1" w:styleId="liv1">
    <w:name w:val="liv1"/>
    <w:basedOn w:val="Normale"/>
    <w:link w:val="liv1Carattere"/>
    <w:rsid w:val="001E0379"/>
    <w:pPr>
      <w:widowControl/>
      <w:tabs>
        <w:tab w:val="num" w:pos="1068"/>
      </w:tabs>
      <w:spacing w:line="360" w:lineRule="auto"/>
      <w:ind w:left="1068" w:right="-54" w:hanging="360"/>
    </w:pPr>
    <w:rPr>
      <w:b/>
      <w:iCs/>
      <w:sz w:val="24"/>
      <w:szCs w:val="24"/>
    </w:rPr>
  </w:style>
  <w:style w:type="paragraph" w:customStyle="1" w:styleId="liv2">
    <w:name w:val="liv2"/>
    <w:basedOn w:val="liv1"/>
    <w:rsid w:val="001E0379"/>
    <w:rPr>
      <w:i/>
      <w:u w:val="single"/>
    </w:rPr>
  </w:style>
  <w:style w:type="character" w:customStyle="1" w:styleId="liv3Carattere">
    <w:name w:val="liv3 Carattere"/>
    <w:link w:val="liv3"/>
    <w:locked/>
    <w:rsid w:val="001E0379"/>
    <w:rPr>
      <w:b/>
      <w:i/>
      <w:iCs/>
      <w:sz w:val="24"/>
      <w:szCs w:val="24"/>
      <w:u w:val="single"/>
    </w:rPr>
  </w:style>
  <w:style w:type="paragraph" w:customStyle="1" w:styleId="liv3">
    <w:name w:val="liv3"/>
    <w:basedOn w:val="liv1"/>
    <w:link w:val="liv3Carattere"/>
    <w:rsid w:val="001E0379"/>
    <w:rPr>
      <w:i/>
      <w:u w:val="single"/>
    </w:rPr>
  </w:style>
  <w:style w:type="paragraph" w:customStyle="1" w:styleId="Stile1">
    <w:name w:val="Stile1"/>
    <w:basedOn w:val="Sommario2"/>
    <w:uiPriority w:val="99"/>
    <w:rsid w:val="001E0379"/>
    <w:pPr>
      <w:widowControl/>
      <w:tabs>
        <w:tab w:val="left" w:pos="960"/>
        <w:tab w:val="right" w:leader="underscore" w:pos="9627"/>
      </w:tabs>
      <w:ind w:left="240"/>
    </w:pPr>
    <w:rPr>
      <w:b w:val="0"/>
      <w:smallCaps/>
    </w:rPr>
  </w:style>
  <w:style w:type="paragraph" w:customStyle="1" w:styleId="xl28">
    <w:name w:val="xl28"/>
    <w:basedOn w:val="Normale"/>
    <w:rsid w:val="001E0379"/>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Cs w:val="24"/>
      <w:lang w:bidi="he-IL"/>
    </w:rPr>
  </w:style>
  <w:style w:type="character" w:customStyle="1" w:styleId="liv4Carattere">
    <w:name w:val="liv4 Carattere"/>
    <w:link w:val="liv4"/>
    <w:locked/>
    <w:rsid w:val="001E0379"/>
    <w:rPr>
      <w:rFonts w:ascii="Arial" w:hAnsi="Arial"/>
      <w:b/>
      <w:bCs/>
      <w:i/>
      <w:iCs/>
      <w:sz w:val="24"/>
      <w:szCs w:val="24"/>
      <w:u w:val="single"/>
    </w:rPr>
  </w:style>
  <w:style w:type="paragraph" w:customStyle="1" w:styleId="liv4">
    <w:name w:val="liv4"/>
    <w:basedOn w:val="liv3"/>
    <w:link w:val="liv4Carattere"/>
    <w:autoRedefine/>
    <w:rsid w:val="001E0379"/>
    <w:pPr>
      <w:tabs>
        <w:tab w:val="clear" w:pos="1068"/>
      </w:tabs>
    </w:pPr>
    <w:rPr>
      <w:bCs/>
    </w:rPr>
  </w:style>
  <w:style w:type="paragraph" w:customStyle="1" w:styleId="Corpodeltesto21">
    <w:name w:val="Corpo del testo 21"/>
    <w:basedOn w:val="Normale"/>
    <w:rsid w:val="001E0379"/>
    <w:pPr>
      <w:widowControl/>
      <w:spacing w:line="360" w:lineRule="atLeast"/>
      <w:ind w:left="426" w:hanging="426"/>
    </w:pPr>
    <w:rPr>
      <w:b/>
      <w:sz w:val="26"/>
    </w:rPr>
  </w:style>
  <w:style w:type="paragraph" w:customStyle="1" w:styleId="INDICE">
    <w:name w:val="INDICE"/>
    <w:basedOn w:val="Normale"/>
    <w:rsid w:val="001E0379"/>
    <w:pPr>
      <w:widowControl/>
      <w:tabs>
        <w:tab w:val="left" w:pos="1134"/>
        <w:tab w:val="right" w:pos="8505"/>
      </w:tabs>
    </w:pPr>
    <w:rPr>
      <w:rFonts w:ascii="Univers (W1)" w:hAnsi="Univers (W1)"/>
    </w:rPr>
  </w:style>
  <w:style w:type="paragraph" w:customStyle="1" w:styleId="Corpodeltesto31">
    <w:name w:val="Corpo del testo 31"/>
    <w:basedOn w:val="Normale"/>
    <w:rsid w:val="001E0379"/>
  </w:style>
  <w:style w:type="character" w:customStyle="1" w:styleId="Capitolato-Titolo4Carattere">
    <w:name w:val="Capitolato - Titolo 4 Carattere"/>
    <w:locked/>
    <w:rsid w:val="001E0379"/>
    <w:rPr>
      <w:b/>
      <w:sz w:val="24"/>
      <w:szCs w:val="24"/>
    </w:rPr>
  </w:style>
  <w:style w:type="paragraph" w:customStyle="1" w:styleId="capitolatocapo">
    <w:name w:val="capitolato capo"/>
    <w:basedOn w:val="Capitolato-Titolo1"/>
    <w:rsid w:val="00F66483"/>
    <w:pPr>
      <w:keepNext w:val="0"/>
      <w:widowControl/>
      <w:numPr>
        <w:numId w:val="4"/>
      </w:numPr>
      <w:spacing w:before="0" w:after="0"/>
      <w:ind w:left="1985"/>
      <w:outlineLvl w:val="9"/>
    </w:pPr>
    <w:rPr>
      <w:caps/>
    </w:rPr>
  </w:style>
  <w:style w:type="numbering" w:customStyle="1" w:styleId="Stile2">
    <w:name w:val="Stile2"/>
    <w:rsid w:val="001E0379"/>
  </w:style>
  <w:style w:type="paragraph" w:styleId="Titolosommario">
    <w:name w:val="TOC Heading"/>
    <w:basedOn w:val="Titolo1"/>
    <w:next w:val="Normale"/>
    <w:uiPriority w:val="39"/>
    <w:unhideWhenUsed/>
    <w:qFormat/>
    <w:rsid w:val="00756942"/>
    <w:pPr>
      <w:keepLines/>
      <w:widowControl/>
      <w:tabs>
        <w:tab w:val="clear" w:pos="360"/>
      </w:tabs>
      <w:spacing w:before="480" w:after="0" w:line="276" w:lineRule="auto"/>
      <w:jc w:val="left"/>
      <w:outlineLvl w:val="9"/>
    </w:pPr>
    <w:rPr>
      <w:rFonts w:ascii="Cambria" w:hAnsi="Cambria"/>
      <w:bCs/>
      <w:caps w:val="0"/>
      <w:color w:val="365F91"/>
      <w:sz w:val="28"/>
      <w:szCs w:val="28"/>
      <w:lang w:eastAsia="en-US"/>
    </w:rPr>
  </w:style>
  <w:style w:type="character" w:customStyle="1" w:styleId="apple-converted-space">
    <w:name w:val="apple-converted-space"/>
    <w:rsid w:val="00D54D2C"/>
  </w:style>
  <w:style w:type="character" w:styleId="Rimandocommento">
    <w:name w:val="annotation reference"/>
    <w:rsid w:val="00EB6B82"/>
    <w:rPr>
      <w:sz w:val="16"/>
      <w:szCs w:val="16"/>
    </w:rPr>
  </w:style>
  <w:style w:type="paragraph" w:styleId="Testocommento">
    <w:name w:val="annotation text"/>
    <w:basedOn w:val="Normale"/>
    <w:link w:val="TestocommentoCarattere"/>
    <w:uiPriority w:val="99"/>
    <w:rsid w:val="00EB6B82"/>
  </w:style>
  <w:style w:type="character" w:customStyle="1" w:styleId="TestocommentoCarattere">
    <w:name w:val="Testo commento Carattere"/>
    <w:link w:val="Testocommento"/>
    <w:uiPriority w:val="99"/>
    <w:rsid w:val="00EB6B82"/>
    <w:rPr>
      <w:rFonts w:ascii="Arial Narrow" w:hAnsi="Arial Narrow"/>
    </w:rPr>
  </w:style>
  <w:style w:type="paragraph" w:styleId="Soggettocommento">
    <w:name w:val="annotation subject"/>
    <w:basedOn w:val="Testocommento"/>
    <w:next w:val="Testocommento"/>
    <w:link w:val="SoggettocommentoCarattere"/>
    <w:rsid w:val="00EB6B82"/>
    <w:rPr>
      <w:b/>
      <w:bCs/>
    </w:rPr>
  </w:style>
  <w:style w:type="character" w:customStyle="1" w:styleId="SoggettocommentoCarattere">
    <w:name w:val="Soggetto commento Carattere"/>
    <w:link w:val="Soggettocommento"/>
    <w:rsid w:val="00EB6B82"/>
    <w:rPr>
      <w:rFonts w:ascii="Arial Narrow" w:hAnsi="Arial Narrow"/>
      <w:b/>
      <w:bCs/>
    </w:rPr>
  </w:style>
  <w:style w:type="numbering" w:customStyle="1" w:styleId="Nessunelenco1">
    <w:name w:val="Nessun elenco1"/>
    <w:next w:val="Nessunelenco"/>
    <w:uiPriority w:val="99"/>
    <w:semiHidden/>
    <w:rsid w:val="00964A8E"/>
  </w:style>
  <w:style w:type="paragraph" w:styleId="Elenco">
    <w:name w:val="List"/>
    <w:basedOn w:val="Normale"/>
    <w:uiPriority w:val="99"/>
    <w:rsid w:val="00964A8E"/>
    <w:pPr>
      <w:widowControl/>
      <w:ind w:left="283" w:hanging="283"/>
    </w:pPr>
    <w:rPr>
      <w:bCs/>
      <w:i/>
      <w:szCs w:val="22"/>
    </w:rPr>
  </w:style>
  <w:style w:type="paragraph" w:styleId="Rientronormale">
    <w:name w:val="Normal Indent"/>
    <w:basedOn w:val="Normale"/>
    <w:uiPriority w:val="99"/>
    <w:rsid w:val="00964A8E"/>
    <w:pPr>
      <w:widowControl/>
      <w:spacing w:line="360" w:lineRule="atLeast"/>
      <w:ind w:left="567"/>
    </w:pPr>
    <w:rPr>
      <w:bCs/>
      <w:i/>
      <w:color w:val="0000FF"/>
      <w:szCs w:val="22"/>
    </w:rPr>
  </w:style>
  <w:style w:type="paragraph" w:customStyle="1" w:styleId="romanpagesheading">
    <w:name w:val="roman pages heading"/>
    <w:basedOn w:val="Titolo1"/>
    <w:next w:val="Normale"/>
    <w:rsid w:val="00964A8E"/>
    <w:pPr>
      <w:pageBreakBefore/>
      <w:widowControl/>
      <w:pBdr>
        <w:bottom w:val="single" w:sz="12" w:space="12" w:color="auto"/>
      </w:pBdr>
      <w:tabs>
        <w:tab w:val="clear" w:pos="360"/>
        <w:tab w:val="right" w:pos="851"/>
        <w:tab w:val="left" w:pos="5670"/>
        <w:tab w:val="left" w:pos="6804"/>
      </w:tabs>
      <w:spacing w:after="600"/>
      <w:ind w:left="567" w:hanging="567"/>
      <w:jc w:val="left"/>
      <w:outlineLvl w:val="9"/>
    </w:pPr>
    <w:rPr>
      <w:rFonts w:ascii="Tahoma" w:hAnsi="Tahoma"/>
      <w:i/>
      <w:color w:val="000080"/>
      <w:spacing w:val="26"/>
      <w:sz w:val="28"/>
      <w:szCs w:val="24"/>
      <w:lang w:bidi="he-IL"/>
    </w:rPr>
  </w:style>
  <w:style w:type="paragraph" w:customStyle="1" w:styleId="Stile4">
    <w:name w:val="Stile4"/>
    <w:basedOn w:val="Titolo2"/>
    <w:autoRedefine/>
    <w:uiPriority w:val="99"/>
    <w:rsid w:val="00964A8E"/>
    <w:pPr>
      <w:widowControl/>
      <w:numPr>
        <w:ilvl w:val="0"/>
        <w:numId w:val="0"/>
      </w:numPr>
      <w:tabs>
        <w:tab w:val="left" w:pos="578"/>
      </w:tabs>
      <w:spacing w:before="120"/>
      <w:ind w:right="1134"/>
    </w:pPr>
    <w:rPr>
      <w:b w:val="0"/>
      <w:bCs/>
      <w:i/>
      <w:caps/>
      <w:smallCaps/>
      <w:sz w:val="24"/>
      <w:szCs w:val="22"/>
    </w:rPr>
  </w:style>
  <w:style w:type="paragraph" w:customStyle="1" w:styleId="Stile30">
    <w:name w:val="Stile3"/>
    <w:basedOn w:val="Normale"/>
    <w:uiPriority w:val="99"/>
    <w:rsid w:val="00964A8E"/>
    <w:pPr>
      <w:widowControl/>
      <w:tabs>
        <w:tab w:val="num" w:pos="1224"/>
      </w:tabs>
      <w:ind w:left="1224" w:hanging="504"/>
    </w:pPr>
    <w:rPr>
      <w:bCs/>
      <w:i/>
      <w:szCs w:val="22"/>
    </w:rPr>
  </w:style>
  <w:style w:type="paragraph" w:customStyle="1" w:styleId="StileArial12ptGiustificatodopo6ptInterlinea15righe">
    <w:name w:val="Stile Arial 12 pt Giustificato  dopo 6 pt Interlinea 15 righe"/>
    <w:basedOn w:val="Normale"/>
    <w:autoRedefine/>
    <w:rsid w:val="00964A8E"/>
    <w:pPr>
      <w:widowControl/>
      <w:spacing w:before="40" w:after="40"/>
      <w:ind w:left="453"/>
    </w:pPr>
    <w:rPr>
      <w:bCs/>
      <w:i/>
      <w:szCs w:val="22"/>
    </w:rPr>
  </w:style>
  <w:style w:type="paragraph" w:customStyle="1" w:styleId="STILE3">
    <w:name w:val="STILE3"/>
    <w:basedOn w:val="Titolo3"/>
    <w:autoRedefine/>
    <w:rsid w:val="00964A8E"/>
    <w:pPr>
      <w:widowControl/>
      <w:numPr>
        <w:ilvl w:val="1"/>
        <w:numId w:val="7"/>
      </w:numPr>
      <w:tabs>
        <w:tab w:val="num" w:pos="431"/>
      </w:tabs>
      <w:spacing w:before="0" w:line="360" w:lineRule="auto"/>
      <w:ind w:left="431" w:firstLine="289"/>
    </w:pPr>
    <w:rPr>
      <w:rFonts w:ascii="Tahoma" w:hAnsi="Tahoma"/>
      <w:b/>
      <w:bCs/>
      <w:i/>
      <w:iCs w:val="0"/>
      <w:sz w:val="24"/>
      <w:szCs w:val="22"/>
    </w:rPr>
  </w:style>
  <w:style w:type="paragraph" w:customStyle="1" w:styleId="Testo">
    <w:name w:val="Testo"/>
    <w:basedOn w:val="Normale"/>
    <w:rsid w:val="00964A8E"/>
    <w:pPr>
      <w:widowControl/>
      <w:overflowPunct w:val="0"/>
      <w:autoSpaceDE w:val="0"/>
      <w:autoSpaceDN w:val="0"/>
      <w:adjustRightInd w:val="0"/>
      <w:spacing w:before="60"/>
      <w:ind w:left="567" w:right="284"/>
      <w:textAlignment w:val="baseline"/>
    </w:pPr>
    <w:rPr>
      <w:bCs/>
      <w:i/>
      <w:szCs w:val="22"/>
    </w:rPr>
  </w:style>
  <w:style w:type="character" w:customStyle="1" w:styleId="MTEquationSection">
    <w:name w:val="MTEquationSection"/>
    <w:rsid w:val="00964A8E"/>
    <w:rPr>
      <w:vanish/>
      <w:color w:val="FF0000"/>
    </w:rPr>
  </w:style>
  <w:style w:type="paragraph" w:styleId="Titolo">
    <w:name w:val="Title"/>
    <w:basedOn w:val="Normale"/>
    <w:link w:val="TitoloCarattere"/>
    <w:uiPriority w:val="99"/>
    <w:qFormat/>
    <w:rsid w:val="00964A8E"/>
    <w:pPr>
      <w:widowControl/>
      <w:spacing w:before="240" w:after="240"/>
      <w:jc w:val="center"/>
      <w:outlineLvl w:val="0"/>
    </w:pPr>
    <w:rPr>
      <w:rFonts w:ascii="Bookman Old Style" w:hAnsi="Bookman Old Style"/>
      <w:b/>
      <w:bCs/>
      <w:i/>
      <w:kern w:val="28"/>
      <w:sz w:val="40"/>
      <w:szCs w:val="22"/>
    </w:rPr>
  </w:style>
  <w:style w:type="character" w:customStyle="1" w:styleId="TitoloCarattere">
    <w:name w:val="Titolo Carattere"/>
    <w:link w:val="Titolo"/>
    <w:uiPriority w:val="10"/>
    <w:rsid w:val="00964A8E"/>
    <w:rPr>
      <w:rFonts w:ascii="Bookman Old Style" w:hAnsi="Bookman Old Style"/>
      <w:b/>
      <w:bCs/>
      <w:i/>
      <w:kern w:val="28"/>
      <w:sz w:val="40"/>
      <w:szCs w:val="22"/>
    </w:rPr>
  </w:style>
  <w:style w:type="paragraph" w:customStyle="1" w:styleId="BodyText21">
    <w:name w:val="Body Text 21"/>
    <w:basedOn w:val="Normale"/>
    <w:uiPriority w:val="99"/>
    <w:rsid w:val="00964A8E"/>
    <w:rPr>
      <w:bCs/>
      <w:i/>
      <w:szCs w:val="22"/>
    </w:rPr>
  </w:style>
  <w:style w:type="paragraph" w:customStyle="1" w:styleId="Titolotabella">
    <w:name w:val="Titolo tabella"/>
    <w:basedOn w:val="Normale"/>
    <w:rsid w:val="00964A8E"/>
    <w:pPr>
      <w:widowControl/>
      <w:spacing w:before="20" w:after="20" w:line="200" w:lineRule="atLeast"/>
      <w:jc w:val="center"/>
    </w:pPr>
    <w:rPr>
      <w:rFonts w:ascii="Arial Black" w:hAnsi="Arial Black"/>
      <w:bCs/>
      <w:i/>
      <w:spacing w:val="-5"/>
      <w:szCs w:val="22"/>
    </w:rPr>
  </w:style>
  <w:style w:type="table" w:customStyle="1" w:styleId="Grigliatabella1">
    <w:name w:val="Griglia tabella1"/>
    <w:basedOn w:val="Tabellanormale"/>
    <w:next w:val="Grigliatabella"/>
    <w:rsid w:val="00964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4bis">
    <w:name w:val="Titolo4bis"/>
    <w:basedOn w:val="Titolo4"/>
    <w:link w:val="Titolo4bisCarattere"/>
    <w:qFormat/>
    <w:rsid w:val="00964A8E"/>
    <w:pPr>
      <w:widowControl/>
      <w:numPr>
        <w:ilvl w:val="0"/>
        <w:numId w:val="0"/>
      </w:numPr>
      <w:spacing w:before="0" w:after="0" w:line="276" w:lineRule="auto"/>
      <w:ind w:left="1418" w:hanging="851"/>
    </w:pPr>
    <w:rPr>
      <w:rFonts w:cs="Arial"/>
      <w:bCs/>
      <w:i/>
      <w:iCs/>
      <w:szCs w:val="22"/>
    </w:rPr>
  </w:style>
  <w:style w:type="paragraph" w:customStyle="1" w:styleId="CSANT">
    <w:name w:val="CSA_NT"/>
    <w:basedOn w:val="Normale"/>
    <w:link w:val="CSANTCarattere"/>
    <w:qFormat/>
    <w:rsid w:val="00964A8E"/>
    <w:pPr>
      <w:widowControl/>
      <w:spacing w:before="40" w:after="40"/>
      <w:ind w:left="567"/>
    </w:pPr>
    <w:rPr>
      <w:bCs/>
      <w:i/>
      <w:szCs w:val="22"/>
    </w:rPr>
  </w:style>
  <w:style w:type="character" w:customStyle="1" w:styleId="Titolo4bisCarattere">
    <w:name w:val="Titolo4bis Carattere"/>
    <w:link w:val="Titolo4bis"/>
    <w:rsid w:val="00964A8E"/>
    <w:rPr>
      <w:rFonts w:ascii="Arial Narrow" w:hAnsi="Arial Narrow" w:cs="Arial"/>
      <w:b/>
      <w:bCs/>
      <w:i/>
      <w:iCs/>
      <w:szCs w:val="22"/>
      <w:lang w:val="it-IT" w:eastAsia="it-IT" w:bidi="ar-SA"/>
    </w:rPr>
  </w:style>
  <w:style w:type="character" w:customStyle="1" w:styleId="CSANTCarattere">
    <w:name w:val="CSA_NT Carattere"/>
    <w:link w:val="CSANT"/>
    <w:rsid w:val="00964A8E"/>
    <w:rPr>
      <w:rFonts w:ascii="Arial Narrow" w:hAnsi="Arial Narrow"/>
      <w:bCs/>
      <w:i/>
      <w:szCs w:val="22"/>
    </w:rPr>
  </w:style>
  <w:style w:type="paragraph" w:styleId="Nessunaspaziatura">
    <w:name w:val="No Spacing"/>
    <w:uiPriority w:val="99"/>
    <w:qFormat/>
    <w:rsid w:val="00964A8E"/>
    <w:pPr>
      <w:widowControl w:val="0"/>
      <w:autoSpaceDE w:val="0"/>
      <w:autoSpaceDN w:val="0"/>
      <w:adjustRightInd w:val="0"/>
    </w:pPr>
    <w:rPr>
      <w:sz w:val="24"/>
      <w:szCs w:val="24"/>
    </w:rPr>
  </w:style>
  <w:style w:type="character" w:styleId="Enfasidelicata">
    <w:name w:val="Subtle Emphasis"/>
    <w:uiPriority w:val="19"/>
    <w:qFormat/>
    <w:rsid w:val="00964A8E"/>
    <w:rPr>
      <w:i/>
      <w:iCs/>
      <w:color w:val="404040"/>
    </w:rPr>
  </w:style>
  <w:style w:type="character" w:styleId="Titolodellibro">
    <w:name w:val="Book Title"/>
    <w:uiPriority w:val="33"/>
    <w:qFormat/>
    <w:rsid w:val="00964A8E"/>
    <w:rPr>
      <w:b/>
      <w:bCs/>
      <w:i/>
      <w:iCs/>
      <w:spacing w:val="5"/>
    </w:rPr>
  </w:style>
  <w:style w:type="paragraph" w:styleId="Revisione">
    <w:name w:val="Revision"/>
    <w:hidden/>
    <w:uiPriority w:val="99"/>
    <w:semiHidden/>
    <w:rsid w:val="002A6CFE"/>
    <w:rPr>
      <w:rFonts w:ascii="Arial Narrow" w:hAnsi="Arial Narrow"/>
    </w:rPr>
  </w:style>
  <w:style w:type="numbering" w:customStyle="1" w:styleId="Nessunelenco2">
    <w:name w:val="Nessun elenco2"/>
    <w:next w:val="Nessunelenco"/>
    <w:uiPriority w:val="99"/>
    <w:semiHidden/>
    <w:rsid w:val="002D0416"/>
  </w:style>
  <w:style w:type="paragraph" w:styleId="Corpodeltesto">
    <w:name w:val="Body Text"/>
    <w:basedOn w:val="Normale"/>
    <w:link w:val="CorpodeltestoCarattere2"/>
    <w:uiPriority w:val="99"/>
    <w:rsid w:val="002D0416"/>
    <w:pPr>
      <w:widowControl/>
      <w:jc w:val="center"/>
    </w:pPr>
    <w:rPr>
      <w:b/>
      <w:bCs/>
      <w:i/>
      <w:szCs w:val="22"/>
    </w:rPr>
  </w:style>
  <w:style w:type="character" w:customStyle="1" w:styleId="CorpodeltestoCarattere2">
    <w:name w:val="Corpo del testo Carattere2"/>
    <w:basedOn w:val="Carpredefinitoparagrafo"/>
    <w:link w:val="Corpodeltesto"/>
    <w:uiPriority w:val="99"/>
    <w:rsid w:val="002D0416"/>
    <w:rPr>
      <w:rFonts w:ascii="Arial Narrow" w:hAnsi="Arial Narrow"/>
      <w:b/>
      <w:bCs/>
      <w:i/>
      <w:sz w:val="22"/>
      <w:szCs w:val="22"/>
    </w:rPr>
  </w:style>
  <w:style w:type="table" w:customStyle="1" w:styleId="Grigliatabella2">
    <w:name w:val="Griglia tabella2"/>
    <w:basedOn w:val="Tabellanormale"/>
    <w:next w:val="Grigliatabella"/>
    <w:rsid w:val="002D04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3">
    <w:name w:val="Nessun elenco3"/>
    <w:next w:val="Nessunelenco"/>
    <w:uiPriority w:val="99"/>
    <w:semiHidden/>
    <w:rsid w:val="00582681"/>
  </w:style>
  <w:style w:type="table" w:customStyle="1" w:styleId="Grigliatabella3">
    <w:name w:val="Griglia tabella3"/>
    <w:basedOn w:val="Tabellanormale"/>
    <w:next w:val="Grigliatabella"/>
    <w:rsid w:val="00582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4">
    <w:name w:val="Nessun elenco4"/>
    <w:next w:val="Nessunelenco"/>
    <w:uiPriority w:val="99"/>
    <w:semiHidden/>
    <w:rsid w:val="00607FB8"/>
  </w:style>
  <w:style w:type="table" w:customStyle="1" w:styleId="Grigliatabella4">
    <w:name w:val="Griglia tabella4"/>
    <w:basedOn w:val="Tabellanormale"/>
    <w:next w:val="Grigliatabella"/>
    <w:rsid w:val="00607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cchinadascrivereHTML">
    <w:name w:val="HTML Typewriter"/>
    <w:uiPriority w:val="99"/>
    <w:rsid w:val="00EA718E"/>
    <w:rPr>
      <w:rFonts w:ascii="Arial" w:hAnsi="Arial" w:cs="Arial"/>
      <w:color w:val="0486A1"/>
      <w:sz w:val="19"/>
      <w:szCs w:val="19"/>
    </w:rPr>
  </w:style>
  <w:style w:type="paragraph" w:styleId="Indice2">
    <w:name w:val="index 2"/>
    <w:basedOn w:val="Normale"/>
    <w:next w:val="Normale"/>
    <w:autoRedefine/>
    <w:uiPriority w:val="99"/>
    <w:rsid w:val="008202E6"/>
    <w:pPr>
      <w:widowControl/>
      <w:numPr>
        <w:numId w:val="8"/>
      </w:numPr>
      <w:ind w:left="400" w:hanging="200"/>
      <w:jc w:val="left"/>
    </w:pPr>
    <w:rPr>
      <w:rFonts w:ascii="Times New Roman" w:hAnsi="Times New Roman"/>
      <w:sz w:val="20"/>
      <w:lang w:bidi="he-IL"/>
    </w:rPr>
  </w:style>
  <w:style w:type="character" w:customStyle="1" w:styleId="Menzionenonrisolta1">
    <w:name w:val="Menzione non risolta1"/>
    <w:basedOn w:val="Carpredefinitoparagrafo"/>
    <w:uiPriority w:val="99"/>
    <w:semiHidden/>
    <w:unhideWhenUsed/>
    <w:rsid w:val="005F7C0F"/>
    <w:rPr>
      <w:color w:val="605E5C"/>
      <w:shd w:val="clear" w:color="auto" w:fill="E1DFDD"/>
    </w:rPr>
  </w:style>
  <w:style w:type="paragraph" w:styleId="Indice3">
    <w:name w:val="index 3"/>
    <w:basedOn w:val="Normale"/>
    <w:next w:val="Normale"/>
    <w:autoRedefine/>
    <w:uiPriority w:val="99"/>
    <w:rsid w:val="005B2571"/>
    <w:pPr>
      <w:widowControl/>
      <w:ind w:left="660" w:hanging="220"/>
      <w:jc w:val="left"/>
    </w:pPr>
    <w:rPr>
      <w:rFonts w:ascii="Tahoma" w:hAnsi="Tahoma"/>
    </w:rPr>
  </w:style>
  <w:style w:type="paragraph" w:styleId="Indice4">
    <w:name w:val="index 4"/>
    <w:basedOn w:val="Normale"/>
    <w:next w:val="Normale"/>
    <w:autoRedefine/>
    <w:uiPriority w:val="99"/>
    <w:rsid w:val="005B2571"/>
    <w:pPr>
      <w:widowControl/>
      <w:ind w:left="880" w:hanging="220"/>
      <w:jc w:val="left"/>
    </w:pPr>
    <w:rPr>
      <w:rFonts w:ascii="Tahoma" w:hAnsi="Tahoma"/>
    </w:rPr>
  </w:style>
  <w:style w:type="paragraph" w:styleId="Indice5">
    <w:name w:val="index 5"/>
    <w:basedOn w:val="Normale"/>
    <w:next w:val="Normale"/>
    <w:autoRedefine/>
    <w:uiPriority w:val="99"/>
    <w:rsid w:val="005B2571"/>
    <w:pPr>
      <w:widowControl/>
      <w:ind w:left="1100" w:hanging="220"/>
      <w:jc w:val="left"/>
    </w:pPr>
    <w:rPr>
      <w:rFonts w:ascii="Tahoma" w:hAnsi="Tahoma"/>
    </w:rPr>
  </w:style>
  <w:style w:type="paragraph" w:styleId="Indice6">
    <w:name w:val="index 6"/>
    <w:basedOn w:val="Normale"/>
    <w:next w:val="Normale"/>
    <w:autoRedefine/>
    <w:uiPriority w:val="99"/>
    <w:rsid w:val="005B2571"/>
    <w:pPr>
      <w:widowControl/>
      <w:ind w:left="1320" w:hanging="220"/>
      <w:jc w:val="left"/>
    </w:pPr>
    <w:rPr>
      <w:rFonts w:ascii="Tahoma" w:hAnsi="Tahoma"/>
    </w:rPr>
  </w:style>
  <w:style w:type="paragraph" w:styleId="Indice7">
    <w:name w:val="index 7"/>
    <w:basedOn w:val="Normale"/>
    <w:next w:val="Normale"/>
    <w:autoRedefine/>
    <w:uiPriority w:val="99"/>
    <w:rsid w:val="005B2571"/>
    <w:pPr>
      <w:widowControl/>
      <w:ind w:left="1540" w:hanging="220"/>
      <w:jc w:val="left"/>
    </w:pPr>
    <w:rPr>
      <w:rFonts w:ascii="Tahoma" w:hAnsi="Tahoma"/>
    </w:rPr>
  </w:style>
  <w:style w:type="paragraph" w:styleId="Indice8">
    <w:name w:val="index 8"/>
    <w:basedOn w:val="Normale"/>
    <w:next w:val="Normale"/>
    <w:autoRedefine/>
    <w:uiPriority w:val="99"/>
    <w:rsid w:val="005B2571"/>
    <w:pPr>
      <w:widowControl/>
      <w:ind w:left="1760" w:hanging="220"/>
      <w:jc w:val="left"/>
    </w:pPr>
    <w:rPr>
      <w:rFonts w:ascii="Tahoma" w:hAnsi="Tahoma"/>
    </w:rPr>
  </w:style>
  <w:style w:type="paragraph" w:styleId="Indice9">
    <w:name w:val="index 9"/>
    <w:basedOn w:val="Normale"/>
    <w:next w:val="Normale"/>
    <w:autoRedefine/>
    <w:uiPriority w:val="99"/>
    <w:rsid w:val="005B2571"/>
    <w:pPr>
      <w:widowControl/>
      <w:ind w:left="1980" w:hanging="220"/>
      <w:jc w:val="left"/>
    </w:pPr>
    <w:rPr>
      <w:rFonts w:ascii="Tahoma" w:hAnsi="Tahoma"/>
    </w:rPr>
  </w:style>
  <w:style w:type="character" w:customStyle="1" w:styleId="Titolo2Carattere1">
    <w:name w:val="Titolo 2 Carattere1"/>
    <w:basedOn w:val="Carpredefinitoparagrafo"/>
    <w:rsid w:val="005B2571"/>
    <w:rPr>
      <w:rFonts w:ascii="Arial" w:hAnsi="Arial" w:cs="Cambria"/>
      <w:bCs/>
      <w:color w:val="4F81BD"/>
      <w:sz w:val="22"/>
      <w:szCs w:val="26"/>
      <w:lang w:eastAsia="ar-SA"/>
    </w:rPr>
  </w:style>
  <w:style w:type="character" w:customStyle="1" w:styleId="WW8Num3z0">
    <w:name w:val="WW8Num3z0"/>
    <w:rsid w:val="005B2571"/>
    <w:rPr>
      <w:rFonts w:ascii="Symbol" w:hAnsi="Symbol"/>
    </w:rPr>
  </w:style>
  <w:style w:type="character" w:customStyle="1" w:styleId="WW8Num4z0">
    <w:name w:val="WW8Num4z0"/>
    <w:uiPriority w:val="99"/>
    <w:rsid w:val="005B2571"/>
    <w:rPr>
      <w:rFonts w:ascii="Arial" w:eastAsia="Times New Roman" w:hAnsi="Arial" w:cs="Times New Roman"/>
    </w:rPr>
  </w:style>
  <w:style w:type="character" w:customStyle="1" w:styleId="WW8Num4z1">
    <w:name w:val="WW8Num4z1"/>
    <w:uiPriority w:val="99"/>
    <w:rsid w:val="005B2571"/>
    <w:rPr>
      <w:rFonts w:ascii="Courier New" w:hAnsi="Courier New"/>
    </w:rPr>
  </w:style>
  <w:style w:type="character" w:customStyle="1" w:styleId="WW8Num4z2">
    <w:name w:val="WW8Num4z2"/>
    <w:rsid w:val="005B2571"/>
    <w:rPr>
      <w:rFonts w:ascii="Wingdings" w:hAnsi="Wingdings"/>
    </w:rPr>
  </w:style>
  <w:style w:type="character" w:customStyle="1" w:styleId="WW8Num4z3">
    <w:name w:val="WW8Num4z3"/>
    <w:rsid w:val="005B2571"/>
    <w:rPr>
      <w:rFonts w:ascii="Symbol" w:hAnsi="Symbol"/>
    </w:rPr>
  </w:style>
  <w:style w:type="character" w:customStyle="1" w:styleId="IntestazioneCarattere1">
    <w:name w:val="Intestazione Carattere1"/>
    <w:basedOn w:val="Carpredefinitoparagrafo"/>
    <w:rsid w:val="005B2571"/>
    <w:rPr>
      <w:rFonts w:ascii="Times New Roman" w:hAnsi="Times New Roman" w:cs="Cambria"/>
      <w:sz w:val="24"/>
      <w:lang w:eastAsia="ar-SA"/>
    </w:rPr>
  </w:style>
  <w:style w:type="character" w:customStyle="1" w:styleId="CorpodeltestoCarattere1">
    <w:name w:val="Corpo del testo Carattere1"/>
    <w:basedOn w:val="Carpredefinitoparagrafo"/>
    <w:rsid w:val="005B2571"/>
    <w:rPr>
      <w:rFonts w:ascii="Arial" w:hAnsi="Arial" w:cs="Cambria"/>
      <w:sz w:val="22"/>
      <w:lang w:eastAsia="ar-SA"/>
    </w:rPr>
  </w:style>
  <w:style w:type="paragraph" w:customStyle="1" w:styleId="Indice0">
    <w:name w:val="Indice"/>
    <w:basedOn w:val="Normale"/>
    <w:rsid w:val="005B2571"/>
    <w:pPr>
      <w:suppressLineNumbers/>
      <w:suppressAutoHyphens/>
      <w:jc w:val="left"/>
    </w:pPr>
    <w:rPr>
      <w:rFonts w:ascii="Times New Roman" w:hAnsi="Times New Roman" w:cs="Tahoma"/>
      <w:sz w:val="24"/>
      <w:lang w:eastAsia="ar-SA"/>
    </w:rPr>
  </w:style>
  <w:style w:type="character" w:customStyle="1" w:styleId="PidipaginaCarattere1">
    <w:name w:val="Piè di pagina Carattere1"/>
    <w:basedOn w:val="Carpredefinitoparagrafo"/>
    <w:rsid w:val="005B2571"/>
    <w:rPr>
      <w:rFonts w:ascii="Times New Roman" w:hAnsi="Times New Roman" w:cs="Cambria"/>
      <w:sz w:val="24"/>
      <w:lang w:eastAsia="ar-SA"/>
    </w:rPr>
  </w:style>
  <w:style w:type="character" w:customStyle="1" w:styleId="Corpodeltesto3Carattere1">
    <w:name w:val="Corpo del testo 3 Carattere1"/>
    <w:basedOn w:val="Carpredefinitoparagrafo"/>
    <w:rsid w:val="005B2571"/>
    <w:rPr>
      <w:rFonts w:cs="Cambria"/>
      <w:sz w:val="16"/>
      <w:szCs w:val="16"/>
      <w:lang w:eastAsia="ar-SA"/>
    </w:rPr>
  </w:style>
  <w:style w:type="character" w:customStyle="1" w:styleId="Rientrocorpodeltesto2Carattere1">
    <w:name w:val="Rientro corpo del testo 2 Carattere1"/>
    <w:basedOn w:val="Carpredefinitoparagrafo"/>
    <w:rsid w:val="005B2571"/>
    <w:rPr>
      <w:rFonts w:ascii="Times New Roman" w:hAnsi="Times New Roman" w:cs="Cambria"/>
      <w:sz w:val="24"/>
      <w:lang w:eastAsia="ar-SA"/>
    </w:rPr>
  </w:style>
  <w:style w:type="character" w:customStyle="1" w:styleId="RientrocorpodeltestoCarattere1">
    <w:name w:val="Rientro corpo del testo Carattere1"/>
    <w:basedOn w:val="Carpredefinitoparagrafo"/>
    <w:rsid w:val="005B2571"/>
    <w:rPr>
      <w:rFonts w:ascii="Times New Roman" w:hAnsi="Times New Roman" w:cs="Cambria"/>
      <w:sz w:val="24"/>
      <w:lang w:eastAsia="ar-SA"/>
    </w:rPr>
  </w:style>
  <w:style w:type="paragraph" w:customStyle="1" w:styleId="Contenutotabella">
    <w:name w:val="Contenuto tabella"/>
    <w:basedOn w:val="Normale"/>
    <w:uiPriority w:val="99"/>
    <w:rsid w:val="005B2571"/>
    <w:pPr>
      <w:suppressLineNumbers/>
      <w:suppressAutoHyphens/>
      <w:jc w:val="left"/>
    </w:pPr>
    <w:rPr>
      <w:rFonts w:ascii="Times New Roman" w:hAnsi="Times New Roman" w:cs="Cambria"/>
      <w:sz w:val="24"/>
      <w:lang w:eastAsia="ar-SA"/>
    </w:rPr>
  </w:style>
  <w:style w:type="paragraph" w:customStyle="1" w:styleId="Intestazionetabella">
    <w:name w:val="Intestazione tabella"/>
    <w:basedOn w:val="Contenutotabella"/>
    <w:uiPriority w:val="99"/>
    <w:rsid w:val="005B2571"/>
    <w:pPr>
      <w:jc w:val="center"/>
    </w:pPr>
    <w:rPr>
      <w:b/>
      <w:bCs/>
    </w:rPr>
  </w:style>
  <w:style w:type="character" w:customStyle="1" w:styleId="TestonotadichiusuraCarattere">
    <w:name w:val="Testo nota di chiusura Carattere"/>
    <w:basedOn w:val="Carpredefinitoparagrafo"/>
    <w:link w:val="Testonotadichiusura"/>
    <w:uiPriority w:val="99"/>
    <w:rsid w:val="005B2571"/>
    <w:rPr>
      <w:rFonts w:ascii="Arial Narrow" w:hAnsi="Arial Narrow"/>
      <w:sz w:val="16"/>
    </w:rPr>
  </w:style>
  <w:style w:type="paragraph" w:customStyle="1" w:styleId="Testodelblocco1">
    <w:name w:val="Testo del blocco1"/>
    <w:rsid w:val="005B2571"/>
    <w:pPr>
      <w:ind w:left="567" w:right="618" w:firstLine="142"/>
      <w:jc w:val="both"/>
    </w:pPr>
    <w:rPr>
      <w:rFonts w:ascii="Arial" w:hAnsi="Arial"/>
      <w:sz w:val="24"/>
    </w:rPr>
  </w:style>
  <w:style w:type="paragraph" w:customStyle="1" w:styleId="relazione">
    <w:name w:val="relazione"/>
    <w:basedOn w:val="Normale"/>
    <w:rsid w:val="005B2571"/>
    <w:pPr>
      <w:widowControl/>
      <w:ind w:left="993" w:firstLine="567"/>
    </w:pPr>
    <w:rPr>
      <w:rFonts w:ascii="Times New Roman" w:hAnsi="Times New Roman"/>
      <w:sz w:val="24"/>
    </w:rPr>
  </w:style>
  <w:style w:type="paragraph" w:customStyle="1" w:styleId="tabelle">
    <w:name w:val="tabelle"/>
    <w:basedOn w:val="Normale"/>
    <w:rsid w:val="005B2571"/>
    <w:pPr>
      <w:widowControl/>
      <w:tabs>
        <w:tab w:val="right" w:pos="567"/>
        <w:tab w:val="left" w:pos="1418"/>
        <w:tab w:val="left" w:pos="2835"/>
        <w:tab w:val="left" w:pos="4536"/>
        <w:tab w:val="left" w:pos="6804"/>
      </w:tabs>
    </w:pPr>
    <w:rPr>
      <w:rFonts w:ascii="Times New Roman" w:hAnsi="Times New Roman"/>
      <w:sz w:val="24"/>
    </w:rPr>
  </w:style>
  <w:style w:type="paragraph" w:customStyle="1" w:styleId="EPU">
    <w:name w:val="EPU"/>
    <w:basedOn w:val="Normale"/>
    <w:rsid w:val="005B2571"/>
    <w:pPr>
      <w:widowControl/>
      <w:tabs>
        <w:tab w:val="right" w:pos="851"/>
        <w:tab w:val="right" w:pos="9356"/>
      </w:tabs>
      <w:ind w:left="1134" w:right="2835" w:hanging="1133"/>
    </w:pPr>
    <w:rPr>
      <w:rFonts w:ascii="Times New Roman" w:hAnsi="Times New Roman"/>
      <w:sz w:val="24"/>
    </w:rPr>
  </w:style>
  <w:style w:type="paragraph" w:customStyle="1" w:styleId="testinormali">
    <w:name w:val="testinormali"/>
    <w:basedOn w:val="Normale"/>
    <w:rsid w:val="005B2571"/>
    <w:pPr>
      <w:widowControl/>
      <w:spacing w:before="100" w:beforeAutospacing="1" w:after="100" w:afterAutospacing="1"/>
      <w:jc w:val="left"/>
    </w:pPr>
    <w:rPr>
      <w:rFonts w:ascii="Times New Roman" w:hAnsi="Times New Roman"/>
      <w:sz w:val="24"/>
      <w:szCs w:val="24"/>
    </w:rPr>
  </w:style>
  <w:style w:type="character" w:customStyle="1" w:styleId="WW-WW8Num1z0">
    <w:name w:val="WW-WW8Num1z0"/>
    <w:rsid w:val="005B2571"/>
    <w:rPr>
      <w:rFonts w:ascii="Times New Roman" w:hAnsi="Times New Roman"/>
    </w:rPr>
  </w:style>
  <w:style w:type="paragraph" w:customStyle="1" w:styleId="Default">
    <w:name w:val="Default"/>
    <w:uiPriority w:val="99"/>
    <w:rsid w:val="005B2571"/>
    <w:pPr>
      <w:autoSpaceDE w:val="0"/>
      <w:autoSpaceDN w:val="0"/>
      <w:adjustRightInd w:val="0"/>
    </w:pPr>
    <w:rPr>
      <w:rFonts w:ascii="HelveticaNeueLT Pro 45 Lt" w:hAnsi="HelveticaNeueLT Pro 45 Lt" w:cs="HelveticaNeueLT Pro 45 Lt"/>
      <w:color w:val="000000"/>
      <w:sz w:val="24"/>
      <w:szCs w:val="24"/>
    </w:rPr>
  </w:style>
  <w:style w:type="character" w:customStyle="1" w:styleId="A6">
    <w:name w:val="A6"/>
    <w:uiPriority w:val="99"/>
    <w:rsid w:val="005B2571"/>
    <w:rPr>
      <w:rFonts w:cs="HelveticaNeueLT Pro 45 Lt"/>
      <w:color w:val="000000"/>
      <w:sz w:val="20"/>
      <w:szCs w:val="20"/>
    </w:rPr>
  </w:style>
  <w:style w:type="character" w:customStyle="1" w:styleId="A5">
    <w:name w:val="A5"/>
    <w:uiPriority w:val="99"/>
    <w:rsid w:val="005B2571"/>
    <w:rPr>
      <w:rFonts w:cs="HelveticaNeueLT Pro 45 Lt"/>
      <w:color w:val="000000"/>
      <w:sz w:val="14"/>
      <w:szCs w:val="14"/>
    </w:rPr>
  </w:style>
  <w:style w:type="character" w:customStyle="1" w:styleId="A11">
    <w:name w:val="A11"/>
    <w:uiPriority w:val="99"/>
    <w:rsid w:val="005B2571"/>
    <w:rPr>
      <w:rFonts w:cs="HelveticaNeueLT Pro 45 Lt"/>
      <w:color w:val="000000"/>
      <w:sz w:val="20"/>
      <w:szCs w:val="20"/>
    </w:rPr>
  </w:style>
  <w:style w:type="character" w:customStyle="1" w:styleId="Menzionenonrisolta2">
    <w:name w:val="Menzione non risolta2"/>
    <w:basedOn w:val="Carpredefinitoparagrafo"/>
    <w:uiPriority w:val="99"/>
    <w:semiHidden/>
    <w:unhideWhenUsed/>
    <w:rsid w:val="005B2571"/>
    <w:rPr>
      <w:color w:val="605E5C"/>
      <w:shd w:val="clear" w:color="auto" w:fill="E1DFDD"/>
    </w:rPr>
  </w:style>
  <w:style w:type="character" w:customStyle="1" w:styleId="smallcontent">
    <w:name w:val="smallcontent"/>
    <w:basedOn w:val="Carpredefinitoparagrafo"/>
    <w:rsid w:val="00C82B0E"/>
  </w:style>
  <w:style w:type="paragraph" w:customStyle="1" w:styleId="Intestazione1">
    <w:name w:val="Intestazione1"/>
    <w:basedOn w:val="Normale"/>
    <w:next w:val="Corpodeltesto"/>
    <w:rsid w:val="00C82B0E"/>
    <w:pPr>
      <w:widowControl/>
      <w:tabs>
        <w:tab w:val="center" w:pos="4819"/>
        <w:tab w:val="right" w:pos="9638"/>
      </w:tabs>
      <w:suppressAutoHyphens/>
      <w:ind w:firstLine="142"/>
      <w:jc w:val="center"/>
    </w:pPr>
    <w:rPr>
      <w:rFonts w:ascii="Times New Roman" w:hAnsi="Times New Roman"/>
      <w:sz w:val="24"/>
      <w:szCs w:val="24"/>
      <w:lang w:eastAsia="ar-SA"/>
    </w:rPr>
  </w:style>
  <w:style w:type="paragraph" w:customStyle="1" w:styleId="Puntoelenco1">
    <w:name w:val="Punto elenco1"/>
    <w:basedOn w:val="Normale"/>
    <w:rsid w:val="00C82B0E"/>
    <w:pPr>
      <w:widowControl/>
      <w:numPr>
        <w:numId w:val="9"/>
      </w:numPr>
      <w:spacing w:before="60"/>
    </w:pPr>
    <w:rPr>
      <w:sz w:val="24"/>
      <w:lang w:eastAsia="ar-SA"/>
    </w:rPr>
  </w:style>
  <w:style w:type="paragraph" w:customStyle="1" w:styleId="TableParagraph">
    <w:name w:val="Table Paragraph"/>
    <w:basedOn w:val="Normale"/>
    <w:uiPriority w:val="1"/>
    <w:qFormat/>
    <w:rsid w:val="00520429"/>
    <w:pPr>
      <w:autoSpaceDE w:val="0"/>
      <w:autoSpaceDN w:val="0"/>
      <w:adjustRightInd w:val="0"/>
      <w:jc w:val="left"/>
    </w:pPr>
    <w:rPr>
      <w:rFonts w:ascii="Times New Roman" w:eastAsiaTheme="minorEastAsia" w:hAnsi="Times New Roman"/>
      <w:sz w:val="24"/>
      <w:szCs w:val="24"/>
    </w:rPr>
  </w:style>
  <w:style w:type="paragraph" w:styleId="Puntoelenco">
    <w:name w:val="List Bullet"/>
    <w:basedOn w:val="Normale"/>
    <w:uiPriority w:val="99"/>
    <w:unhideWhenUsed/>
    <w:rsid w:val="00486F43"/>
    <w:pPr>
      <w:numPr>
        <w:numId w:val="10"/>
      </w:numPr>
      <w:contextualSpacing/>
    </w:pPr>
  </w:style>
  <w:style w:type="paragraph" w:customStyle="1" w:styleId="Paragrafoelenco1">
    <w:name w:val="Paragrafo elenco1"/>
    <w:basedOn w:val="Normale"/>
    <w:rsid w:val="00C15BC0"/>
    <w:pPr>
      <w:widowControl/>
      <w:suppressAutoHyphens/>
      <w:ind w:left="708"/>
    </w:pPr>
    <w:rPr>
      <w:rFonts w:ascii="HelveticaNeueLT Pro 45 Lt" w:hAnsi="HelveticaNeueLT Pro 45 Lt" w:cs="HelveticaNeueLT Pro 45 Lt"/>
      <w:color w:val="000000"/>
      <w:sz w:val="24"/>
      <w:szCs w:val="24"/>
      <w:lang w:eastAsia="ar-SA"/>
    </w:rPr>
  </w:style>
  <w:style w:type="paragraph" w:styleId="PreformattatoHTML">
    <w:name w:val="HTML Preformatted"/>
    <w:basedOn w:val="Normale"/>
    <w:link w:val="PreformattatoHTMLCarattere"/>
    <w:uiPriority w:val="99"/>
    <w:rsid w:val="00F103B3"/>
    <w:pPr>
      <w:widowControl/>
      <w:suppressAutoHyphens/>
      <w:jc w:val="left"/>
    </w:pPr>
    <w:rPr>
      <w:rFonts w:ascii="Courier New" w:hAnsi="Courier New" w:cs="Calibri"/>
      <w:sz w:val="20"/>
      <w:lang w:eastAsia="ar-SA"/>
    </w:rPr>
  </w:style>
  <w:style w:type="character" w:customStyle="1" w:styleId="PreformattatoHTMLCarattere">
    <w:name w:val="Preformattato HTML Carattere"/>
    <w:basedOn w:val="Carpredefinitoparagrafo"/>
    <w:link w:val="PreformattatoHTML"/>
    <w:uiPriority w:val="99"/>
    <w:rsid w:val="00F103B3"/>
    <w:rPr>
      <w:rFonts w:ascii="Courier New" w:hAnsi="Courier New" w:cs="Calibri"/>
      <w:lang w:eastAsia="ar-SA"/>
    </w:rPr>
  </w:style>
  <w:style w:type="paragraph" w:customStyle="1" w:styleId="Corpodeltesto23">
    <w:name w:val="Corpo del testo 23"/>
    <w:basedOn w:val="Normale"/>
    <w:rsid w:val="003A07FB"/>
    <w:pPr>
      <w:widowControl/>
      <w:suppressAutoHyphens/>
      <w:spacing w:after="120" w:line="480" w:lineRule="auto"/>
      <w:jc w:val="left"/>
    </w:pPr>
    <w:rPr>
      <w:rFonts w:ascii="Times New Roman" w:hAnsi="Times New Roman"/>
      <w:sz w:val="24"/>
      <w:szCs w:val="24"/>
      <w:lang w:eastAsia="ar-SA"/>
    </w:rPr>
  </w:style>
  <w:style w:type="paragraph" w:customStyle="1" w:styleId="Titolo11">
    <w:name w:val="Titolo 11"/>
    <w:basedOn w:val="Normale"/>
    <w:uiPriority w:val="1"/>
    <w:qFormat/>
    <w:rsid w:val="00926D44"/>
    <w:pPr>
      <w:autoSpaceDE w:val="0"/>
      <w:autoSpaceDN w:val="0"/>
      <w:ind w:left="1527" w:hanging="1418"/>
      <w:jc w:val="left"/>
      <w:outlineLvl w:val="1"/>
    </w:pPr>
    <w:rPr>
      <w:rFonts w:ascii="Verdana" w:eastAsia="Verdana" w:hAnsi="Verdana" w:cs="Verdana"/>
      <w:b/>
      <w:bCs/>
      <w:szCs w:val="22"/>
      <w:lang w:val="en-US" w:eastAsia="en-US"/>
    </w:rPr>
  </w:style>
  <w:style w:type="paragraph" w:customStyle="1" w:styleId="WW-Default">
    <w:name w:val="WW-Default"/>
    <w:basedOn w:val="Normale"/>
    <w:rsid w:val="00785D14"/>
    <w:pPr>
      <w:widowControl/>
      <w:suppressAutoHyphens/>
      <w:jc w:val="left"/>
    </w:pPr>
    <w:rPr>
      <w:rFonts w:ascii="Times New Roman" w:eastAsia="Lucida Sans Unicode" w:hAnsi="Times New Roman"/>
      <w:kern w:val="2"/>
      <w:sz w:val="24"/>
      <w:szCs w:val="24"/>
      <w:lang w:eastAsia="ar-SA"/>
    </w:rPr>
  </w:style>
  <w:style w:type="paragraph" w:customStyle="1" w:styleId="Left">
    <w:name w:val="Left"/>
    <w:rsid w:val="00F72B12"/>
    <w:pPr>
      <w:widowControl w:val="0"/>
      <w:autoSpaceDE w:val="0"/>
      <w:autoSpaceDN w:val="0"/>
      <w:adjustRightInd w:val="0"/>
    </w:pPr>
    <w:rPr>
      <w:rFonts w:ascii="Arial" w:eastAsiaTheme="minorEastAsia" w:hAnsi="Arial" w:cs="Arial"/>
      <w:sz w:val="24"/>
      <w:szCs w:val="24"/>
    </w:rPr>
  </w:style>
  <w:style w:type="table" w:customStyle="1" w:styleId="TableNormal">
    <w:name w:val="Table Normal"/>
    <w:uiPriority w:val="2"/>
    <w:semiHidden/>
    <w:qFormat/>
    <w:rsid w:val="00F72B1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efinitionTerm">
    <w:name w:val="Definition Term"/>
    <w:next w:val="DefinitionList"/>
    <w:uiPriority w:val="99"/>
    <w:rsid w:val="00F252A3"/>
    <w:pPr>
      <w:widowControl w:val="0"/>
      <w:autoSpaceDE w:val="0"/>
      <w:autoSpaceDN w:val="0"/>
      <w:adjustRightInd w:val="0"/>
    </w:pPr>
    <w:rPr>
      <w:rFonts w:ascii="Arial" w:eastAsiaTheme="minorEastAsia" w:hAnsi="Arial" w:cs="Arial"/>
      <w:sz w:val="24"/>
      <w:szCs w:val="24"/>
    </w:rPr>
  </w:style>
  <w:style w:type="paragraph" w:customStyle="1" w:styleId="DefinitionList">
    <w:name w:val="Definition List"/>
    <w:next w:val="DefinitionTerm"/>
    <w:uiPriority w:val="99"/>
    <w:rsid w:val="00F252A3"/>
    <w:pPr>
      <w:widowControl w:val="0"/>
      <w:autoSpaceDE w:val="0"/>
      <w:autoSpaceDN w:val="0"/>
      <w:adjustRightInd w:val="0"/>
      <w:ind w:left="360"/>
    </w:pPr>
    <w:rPr>
      <w:rFonts w:ascii="Arial" w:eastAsiaTheme="minorEastAsia" w:hAnsi="Arial" w:cs="Arial"/>
      <w:sz w:val="24"/>
      <w:szCs w:val="24"/>
    </w:rPr>
  </w:style>
  <w:style w:type="character" w:customStyle="1" w:styleId="Definition">
    <w:name w:val="Definition"/>
    <w:uiPriority w:val="99"/>
    <w:rsid w:val="00F252A3"/>
    <w:rPr>
      <w:i/>
      <w:iCs/>
    </w:rPr>
  </w:style>
  <w:style w:type="paragraph" w:customStyle="1" w:styleId="H1">
    <w:name w:val="H1"/>
    <w:next w:val="Normale"/>
    <w:uiPriority w:val="99"/>
    <w:rsid w:val="00F252A3"/>
    <w:pPr>
      <w:keepNext/>
      <w:widowControl w:val="0"/>
      <w:autoSpaceDE w:val="0"/>
      <w:autoSpaceDN w:val="0"/>
      <w:adjustRightInd w:val="0"/>
      <w:spacing w:before="100" w:after="100"/>
      <w:outlineLvl w:val="1"/>
    </w:pPr>
    <w:rPr>
      <w:rFonts w:ascii="Arial" w:eastAsiaTheme="minorEastAsia" w:hAnsi="Arial" w:cs="Arial"/>
      <w:b/>
      <w:bCs/>
      <w:sz w:val="48"/>
      <w:szCs w:val="48"/>
    </w:rPr>
  </w:style>
  <w:style w:type="paragraph" w:customStyle="1" w:styleId="H2">
    <w:name w:val="H2"/>
    <w:next w:val="Normale"/>
    <w:uiPriority w:val="99"/>
    <w:rsid w:val="00F252A3"/>
    <w:pPr>
      <w:keepNext/>
      <w:widowControl w:val="0"/>
      <w:autoSpaceDE w:val="0"/>
      <w:autoSpaceDN w:val="0"/>
      <w:adjustRightInd w:val="0"/>
      <w:spacing w:before="100" w:after="100"/>
      <w:outlineLvl w:val="2"/>
    </w:pPr>
    <w:rPr>
      <w:rFonts w:ascii="Arial" w:eastAsiaTheme="minorEastAsia" w:hAnsi="Arial" w:cs="Arial"/>
      <w:b/>
      <w:bCs/>
      <w:sz w:val="36"/>
      <w:szCs w:val="36"/>
    </w:rPr>
  </w:style>
  <w:style w:type="paragraph" w:customStyle="1" w:styleId="H3">
    <w:name w:val="H3"/>
    <w:next w:val="Normale"/>
    <w:uiPriority w:val="99"/>
    <w:rsid w:val="00F252A3"/>
    <w:pPr>
      <w:keepNext/>
      <w:widowControl w:val="0"/>
      <w:autoSpaceDE w:val="0"/>
      <w:autoSpaceDN w:val="0"/>
      <w:adjustRightInd w:val="0"/>
      <w:spacing w:before="100" w:after="100"/>
      <w:outlineLvl w:val="3"/>
    </w:pPr>
    <w:rPr>
      <w:rFonts w:ascii="Arial" w:eastAsiaTheme="minorEastAsia" w:hAnsi="Arial" w:cs="Arial"/>
      <w:b/>
      <w:bCs/>
      <w:sz w:val="28"/>
      <w:szCs w:val="28"/>
    </w:rPr>
  </w:style>
  <w:style w:type="paragraph" w:customStyle="1" w:styleId="H4">
    <w:name w:val="H4"/>
    <w:next w:val="Normale"/>
    <w:uiPriority w:val="99"/>
    <w:rsid w:val="00F252A3"/>
    <w:pPr>
      <w:keepNext/>
      <w:widowControl w:val="0"/>
      <w:autoSpaceDE w:val="0"/>
      <w:autoSpaceDN w:val="0"/>
      <w:adjustRightInd w:val="0"/>
      <w:spacing w:before="100" w:after="100"/>
      <w:outlineLvl w:val="4"/>
    </w:pPr>
    <w:rPr>
      <w:rFonts w:ascii="Arial" w:eastAsiaTheme="minorEastAsia" w:hAnsi="Arial" w:cs="Arial"/>
      <w:b/>
      <w:bCs/>
      <w:sz w:val="24"/>
      <w:szCs w:val="24"/>
    </w:rPr>
  </w:style>
  <w:style w:type="paragraph" w:customStyle="1" w:styleId="H5">
    <w:name w:val="H5"/>
    <w:next w:val="Normale"/>
    <w:uiPriority w:val="99"/>
    <w:rsid w:val="00F252A3"/>
    <w:pPr>
      <w:keepNext/>
      <w:widowControl w:val="0"/>
      <w:autoSpaceDE w:val="0"/>
      <w:autoSpaceDN w:val="0"/>
      <w:adjustRightInd w:val="0"/>
      <w:spacing w:before="100" w:after="100"/>
      <w:outlineLvl w:val="5"/>
    </w:pPr>
    <w:rPr>
      <w:rFonts w:ascii="Arial" w:eastAsiaTheme="minorEastAsia" w:hAnsi="Arial" w:cs="Arial"/>
      <w:b/>
      <w:bCs/>
    </w:rPr>
  </w:style>
  <w:style w:type="paragraph" w:customStyle="1" w:styleId="H6">
    <w:name w:val="H6"/>
    <w:next w:val="Normale"/>
    <w:uiPriority w:val="99"/>
    <w:rsid w:val="00F252A3"/>
    <w:pPr>
      <w:keepNext/>
      <w:widowControl w:val="0"/>
      <w:autoSpaceDE w:val="0"/>
      <w:autoSpaceDN w:val="0"/>
      <w:adjustRightInd w:val="0"/>
      <w:spacing w:before="100" w:after="100"/>
      <w:outlineLvl w:val="6"/>
    </w:pPr>
    <w:rPr>
      <w:rFonts w:ascii="Arial" w:eastAsiaTheme="minorEastAsia" w:hAnsi="Arial" w:cs="Arial"/>
      <w:b/>
      <w:bCs/>
      <w:sz w:val="16"/>
      <w:szCs w:val="16"/>
    </w:rPr>
  </w:style>
  <w:style w:type="paragraph" w:customStyle="1" w:styleId="Address">
    <w:name w:val="Address"/>
    <w:next w:val="Normale"/>
    <w:uiPriority w:val="99"/>
    <w:rsid w:val="00F252A3"/>
    <w:pPr>
      <w:widowControl w:val="0"/>
      <w:autoSpaceDE w:val="0"/>
      <w:autoSpaceDN w:val="0"/>
      <w:adjustRightInd w:val="0"/>
    </w:pPr>
    <w:rPr>
      <w:rFonts w:ascii="Arial" w:eastAsiaTheme="minorEastAsia" w:hAnsi="Arial" w:cs="Arial"/>
      <w:i/>
      <w:iCs/>
      <w:sz w:val="24"/>
      <w:szCs w:val="24"/>
    </w:rPr>
  </w:style>
  <w:style w:type="paragraph" w:customStyle="1" w:styleId="Blockquote">
    <w:name w:val="Blockquote"/>
    <w:next w:val="Normale"/>
    <w:uiPriority w:val="99"/>
    <w:rsid w:val="00F252A3"/>
    <w:pPr>
      <w:widowControl w:val="0"/>
      <w:autoSpaceDE w:val="0"/>
      <w:autoSpaceDN w:val="0"/>
      <w:adjustRightInd w:val="0"/>
      <w:spacing w:before="100" w:after="100"/>
      <w:ind w:left="360" w:right="360"/>
    </w:pPr>
    <w:rPr>
      <w:rFonts w:ascii="Arial" w:eastAsiaTheme="minorEastAsia" w:hAnsi="Arial" w:cs="Arial"/>
      <w:sz w:val="24"/>
      <w:szCs w:val="24"/>
    </w:rPr>
  </w:style>
  <w:style w:type="character" w:customStyle="1" w:styleId="CITE">
    <w:name w:val="CITE"/>
    <w:uiPriority w:val="99"/>
    <w:rsid w:val="00F252A3"/>
    <w:rPr>
      <w:i/>
      <w:iCs/>
    </w:rPr>
  </w:style>
  <w:style w:type="character" w:customStyle="1" w:styleId="CODE">
    <w:name w:val="CODE"/>
    <w:uiPriority w:val="99"/>
    <w:rsid w:val="00F252A3"/>
    <w:rPr>
      <w:rFonts w:ascii="Courier New" w:hAnsi="Courier New" w:cs="Courier New"/>
      <w:sz w:val="20"/>
      <w:szCs w:val="20"/>
    </w:rPr>
  </w:style>
  <w:style w:type="character" w:styleId="Enfasicorsivo">
    <w:name w:val="Emphasis"/>
    <w:basedOn w:val="Carpredefinitoparagrafo"/>
    <w:uiPriority w:val="99"/>
    <w:qFormat/>
    <w:rsid w:val="00F252A3"/>
    <w:rPr>
      <w:i/>
      <w:iCs/>
      <w:color w:val="000000"/>
      <w:shd w:val="clear" w:color="auto" w:fill="FFFFFF"/>
    </w:rPr>
  </w:style>
  <w:style w:type="character" w:customStyle="1" w:styleId="Keyboard">
    <w:name w:val="Keyboard"/>
    <w:uiPriority w:val="99"/>
    <w:rsid w:val="00F252A3"/>
    <w:rPr>
      <w:rFonts w:ascii="Courier New" w:hAnsi="Courier New" w:cs="Courier New"/>
      <w:b/>
      <w:bCs/>
      <w:sz w:val="20"/>
      <w:szCs w:val="20"/>
    </w:rPr>
  </w:style>
  <w:style w:type="paragraph" w:customStyle="1" w:styleId="Preformatted">
    <w:name w:val="Preformatted"/>
    <w:next w:val="Normale"/>
    <w:uiPriority w:val="99"/>
    <w:rsid w:val="00F252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heme="minorEastAsia" w:hAnsi="Courier New" w:cs="Courier New"/>
    </w:rPr>
  </w:style>
  <w:style w:type="paragraph" w:customStyle="1" w:styleId="z-BottomofForm">
    <w:name w:val="z-Bottom of Form"/>
    <w:next w:val="Normale"/>
    <w:uiPriority w:val="99"/>
    <w:rsid w:val="00F252A3"/>
    <w:pPr>
      <w:widowControl w:val="0"/>
      <w:pBdr>
        <w:top w:val="double" w:sz="6" w:space="0" w:color="000000"/>
      </w:pBdr>
      <w:autoSpaceDE w:val="0"/>
      <w:autoSpaceDN w:val="0"/>
      <w:adjustRightInd w:val="0"/>
      <w:jc w:val="center"/>
    </w:pPr>
    <w:rPr>
      <w:rFonts w:ascii="Arial" w:eastAsiaTheme="minorEastAsia" w:hAnsi="Arial" w:cs="Arial"/>
      <w:vanish/>
      <w:sz w:val="16"/>
      <w:szCs w:val="16"/>
    </w:rPr>
  </w:style>
  <w:style w:type="paragraph" w:customStyle="1" w:styleId="z-TopofForm">
    <w:name w:val="z-Top of Form"/>
    <w:next w:val="Normale"/>
    <w:uiPriority w:val="99"/>
    <w:rsid w:val="00F252A3"/>
    <w:pPr>
      <w:widowControl w:val="0"/>
      <w:pBdr>
        <w:bottom w:val="double" w:sz="6" w:space="0" w:color="000000"/>
      </w:pBdr>
      <w:autoSpaceDE w:val="0"/>
      <w:autoSpaceDN w:val="0"/>
      <w:adjustRightInd w:val="0"/>
      <w:jc w:val="center"/>
    </w:pPr>
    <w:rPr>
      <w:rFonts w:ascii="Arial" w:eastAsiaTheme="minorEastAsia" w:hAnsi="Arial" w:cs="Arial"/>
      <w:vanish/>
      <w:sz w:val="16"/>
      <w:szCs w:val="16"/>
    </w:rPr>
  </w:style>
  <w:style w:type="character" w:customStyle="1" w:styleId="Sample">
    <w:name w:val="Sample"/>
    <w:uiPriority w:val="99"/>
    <w:rsid w:val="00F252A3"/>
    <w:rPr>
      <w:rFonts w:ascii="Courier New" w:hAnsi="Courier New" w:cs="Courier New"/>
    </w:rPr>
  </w:style>
  <w:style w:type="character" w:customStyle="1" w:styleId="Typewriter">
    <w:name w:val="Typewriter"/>
    <w:uiPriority w:val="99"/>
    <w:rsid w:val="00F252A3"/>
    <w:rPr>
      <w:rFonts w:ascii="Courier New" w:hAnsi="Courier New" w:cs="Courier New"/>
      <w:sz w:val="20"/>
      <w:szCs w:val="20"/>
    </w:rPr>
  </w:style>
  <w:style w:type="character" w:customStyle="1" w:styleId="Variable">
    <w:name w:val="Variable"/>
    <w:uiPriority w:val="99"/>
    <w:rsid w:val="00F252A3"/>
    <w:rPr>
      <w:i/>
      <w:iCs/>
    </w:rPr>
  </w:style>
  <w:style w:type="character" w:customStyle="1" w:styleId="HTMLMarkup">
    <w:name w:val="HTML Markup"/>
    <w:uiPriority w:val="99"/>
    <w:rsid w:val="00F252A3"/>
    <w:rPr>
      <w:vanish/>
      <w:color w:val="FF0000"/>
    </w:rPr>
  </w:style>
  <w:style w:type="character" w:customStyle="1" w:styleId="Comment">
    <w:name w:val="Comment"/>
    <w:uiPriority w:val="99"/>
    <w:rsid w:val="00F252A3"/>
    <w:rPr>
      <w:vanish/>
    </w:rPr>
  </w:style>
  <w:style w:type="paragraph" w:customStyle="1" w:styleId="Stile">
    <w:name w:val="Stile"/>
    <w:next w:val="Normale"/>
    <w:uiPriority w:val="99"/>
    <w:rsid w:val="00F252A3"/>
    <w:pPr>
      <w:widowControl w:val="0"/>
      <w:autoSpaceDE w:val="0"/>
      <w:autoSpaceDN w:val="0"/>
      <w:adjustRightInd w:val="0"/>
    </w:pPr>
    <w:rPr>
      <w:rFonts w:ascii="Arial" w:eastAsiaTheme="minorEastAsia" w:hAnsi="Arial" w:cs="Arial"/>
      <w:color w:val="000000"/>
      <w:sz w:val="24"/>
      <w:szCs w:val="24"/>
      <w:shd w:val="clear" w:color="auto" w:fill="FFFFFF"/>
    </w:rPr>
  </w:style>
  <w:style w:type="paragraph" w:customStyle="1" w:styleId="Liv40">
    <w:name w:val="Liv4"/>
    <w:next w:val="Normale"/>
    <w:uiPriority w:val="99"/>
    <w:rsid w:val="00F252A3"/>
    <w:pPr>
      <w:widowControl w:val="0"/>
      <w:autoSpaceDE w:val="0"/>
      <w:autoSpaceDN w:val="0"/>
      <w:adjustRightInd w:val="0"/>
      <w:spacing w:before="120"/>
      <w:ind w:firstLine="113"/>
    </w:pPr>
    <w:rPr>
      <w:rFonts w:ascii="Arial" w:eastAsiaTheme="minorEastAsia" w:hAnsi="Arial" w:cs="Arial"/>
      <w:b/>
      <w:bCs/>
      <w:i/>
      <w:iCs/>
      <w:color w:val="000000"/>
      <w:sz w:val="16"/>
      <w:szCs w:val="16"/>
      <w:shd w:val="clear" w:color="auto" w:fill="FFFFFF"/>
    </w:rPr>
  </w:style>
  <w:style w:type="paragraph" w:customStyle="1" w:styleId="Terminedefinizione">
    <w:name w:val="Termine definizione"/>
    <w:next w:val="Elencodefinizione"/>
    <w:uiPriority w:val="99"/>
    <w:rsid w:val="00F252A3"/>
    <w:pPr>
      <w:widowControl w:val="0"/>
      <w:autoSpaceDE w:val="0"/>
      <w:autoSpaceDN w:val="0"/>
      <w:adjustRightInd w:val="0"/>
    </w:pPr>
    <w:rPr>
      <w:rFonts w:ascii="Arial" w:eastAsiaTheme="minorEastAsia" w:hAnsi="Arial" w:cs="Arial"/>
      <w:color w:val="000000"/>
      <w:sz w:val="24"/>
      <w:szCs w:val="24"/>
      <w:shd w:val="clear" w:color="auto" w:fill="FFFFFF"/>
    </w:rPr>
  </w:style>
  <w:style w:type="paragraph" w:customStyle="1" w:styleId="Elencodefinizione">
    <w:name w:val="Elenco definizione"/>
    <w:next w:val="Terminedefinizione"/>
    <w:uiPriority w:val="99"/>
    <w:rsid w:val="00F252A3"/>
    <w:pPr>
      <w:widowControl w:val="0"/>
      <w:autoSpaceDE w:val="0"/>
      <w:autoSpaceDN w:val="0"/>
      <w:adjustRightInd w:val="0"/>
      <w:ind w:left="360"/>
    </w:pPr>
    <w:rPr>
      <w:rFonts w:ascii="Arial" w:eastAsiaTheme="minorEastAsia" w:hAnsi="Arial" w:cs="Arial"/>
      <w:color w:val="000000"/>
      <w:sz w:val="24"/>
      <w:szCs w:val="24"/>
      <w:shd w:val="clear" w:color="auto" w:fill="FFFFFF"/>
    </w:rPr>
  </w:style>
  <w:style w:type="character" w:customStyle="1" w:styleId="Definizione">
    <w:name w:val="Definizione"/>
    <w:uiPriority w:val="99"/>
    <w:rsid w:val="00F252A3"/>
    <w:rPr>
      <w:i/>
      <w:iCs/>
      <w:color w:val="000000"/>
      <w:shd w:val="clear" w:color="auto" w:fill="FFFFFF"/>
    </w:rPr>
  </w:style>
  <w:style w:type="paragraph" w:customStyle="1" w:styleId="Indirizzo">
    <w:name w:val="Indirizzo"/>
    <w:next w:val="Normale"/>
    <w:uiPriority w:val="99"/>
    <w:rsid w:val="00F252A3"/>
    <w:pPr>
      <w:widowControl w:val="0"/>
      <w:autoSpaceDE w:val="0"/>
      <w:autoSpaceDN w:val="0"/>
      <w:adjustRightInd w:val="0"/>
    </w:pPr>
    <w:rPr>
      <w:rFonts w:ascii="Arial" w:eastAsiaTheme="minorEastAsia" w:hAnsi="Arial" w:cs="Arial"/>
      <w:i/>
      <w:iCs/>
      <w:color w:val="000000"/>
      <w:sz w:val="24"/>
      <w:szCs w:val="24"/>
      <w:shd w:val="clear" w:color="auto" w:fill="FFFFFF"/>
    </w:rPr>
  </w:style>
  <w:style w:type="character" w:customStyle="1" w:styleId="Tastiera">
    <w:name w:val="Tastiera"/>
    <w:uiPriority w:val="99"/>
    <w:rsid w:val="00F252A3"/>
    <w:rPr>
      <w:rFonts w:ascii="Courier New" w:hAnsi="Courier New" w:cs="Courier New"/>
      <w:b/>
      <w:bCs/>
      <w:color w:val="000000"/>
      <w:sz w:val="20"/>
      <w:szCs w:val="20"/>
      <w:shd w:val="clear" w:color="auto" w:fill="FFFFFF"/>
    </w:rPr>
  </w:style>
  <w:style w:type="paragraph" w:customStyle="1" w:styleId="Preformattato">
    <w:name w:val="Preformattato"/>
    <w:next w:val="Normale"/>
    <w:uiPriority w:val="99"/>
    <w:rsid w:val="00F252A3"/>
    <w:pPr>
      <w:widowControl w:val="0"/>
      <w:autoSpaceDE w:val="0"/>
      <w:autoSpaceDN w:val="0"/>
      <w:adjustRightInd w:val="0"/>
    </w:pPr>
    <w:rPr>
      <w:rFonts w:ascii="Courier New" w:eastAsiaTheme="minorEastAsia" w:hAnsi="Courier New" w:cs="Courier New"/>
      <w:color w:val="000000"/>
      <w:shd w:val="clear" w:color="auto" w:fill="FFFFFF"/>
    </w:rPr>
  </w:style>
  <w:style w:type="character" w:customStyle="1" w:styleId="Esempio">
    <w:name w:val="Esempio"/>
    <w:uiPriority w:val="99"/>
    <w:rsid w:val="00F252A3"/>
    <w:rPr>
      <w:rFonts w:ascii="Courier New" w:hAnsi="Courier New" w:cs="Courier New"/>
      <w:color w:val="000000"/>
      <w:shd w:val="clear" w:color="auto" w:fill="FFFFFF"/>
    </w:rPr>
  </w:style>
  <w:style w:type="character" w:customStyle="1" w:styleId="Macchinadascrivere">
    <w:name w:val="Macchina da scrivere"/>
    <w:uiPriority w:val="99"/>
    <w:rsid w:val="00F252A3"/>
    <w:rPr>
      <w:rFonts w:ascii="Courier New" w:hAnsi="Courier New" w:cs="Courier New"/>
      <w:color w:val="000000"/>
      <w:sz w:val="20"/>
      <w:szCs w:val="20"/>
      <w:shd w:val="clear" w:color="auto" w:fill="FFFFFF"/>
    </w:rPr>
  </w:style>
  <w:style w:type="character" w:customStyle="1" w:styleId="Variabile">
    <w:name w:val="Variabile"/>
    <w:uiPriority w:val="99"/>
    <w:rsid w:val="00F252A3"/>
    <w:rPr>
      <w:i/>
      <w:iCs/>
      <w:color w:val="000000"/>
      <w:shd w:val="clear" w:color="auto" w:fill="FFFFFF"/>
    </w:rPr>
  </w:style>
  <w:style w:type="character" w:customStyle="1" w:styleId="Commento">
    <w:name w:val="Commento"/>
    <w:uiPriority w:val="99"/>
    <w:rsid w:val="00F252A3"/>
    <w:rPr>
      <w:vanish/>
      <w:color w:val="000000"/>
      <w:shd w:val="clear" w:color="auto" w:fill="FFFFFF"/>
    </w:rPr>
  </w:style>
  <w:style w:type="paragraph" w:customStyle="1" w:styleId="primo-livello">
    <w:name w:val="primo-livello"/>
    <w:uiPriority w:val="99"/>
    <w:rsid w:val="00F252A3"/>
    <w:pPr>
      <w:widowControl w:val="0"/>
      <w:autoSpaceDE w:val="0"/>
      <w:autoSpaceDN w:val="0"/>
      <w:adjustRightInd w:val="0"/>
      <w:spacing w:before="100" w:after="100"/>
    </w:pPr>
    <w:rPr>
      <w:rFonts w:ascii="Arial" w:eastAsiaTheme="minorEastAsia" w:hAnsi="Arial" w:cs="Arial"/>
      <w:color w:val="000000"/>
      <w:sz w:val="24"/>
      <w:szCs w:val="24"/>
      <w:shd w:val="clear" w:color="auto" w:fill="FFFFFF"/>
    </w:rPr>
  </w:style>
  <w:style w:type="paragraph" w:customStyle="1" w:styleId="livello-alfabetico">
    <w:name w:val="livello-alfabetico"/>
    <w:uiPriority w:val="99"/>
    <w:rsid w:val="00F252A3"/>
    <w:pPr>
      <w:widowControl w:val="0"/>
      <w:autoSpaceDE w:val="0"/>
      <w:autoSpaceDN w:val="0"/>
      <w:adjustRightInd w:val="0"/>
      <w:spacing w:before="100" w:after="100"/>
    </w:pPr>
    <w:rPr>
      <w:rFonts w:ascii="Arial" w:eastAsiaTheme="minorEastAsia" w:hAnsi="Arial" w:cs="Arial"/>
      <w:color w:val="000000"/>
      <w:sz w:val="24"/>
      <w:szCs w:val="24"/>
      <w:shd w:val="clear" w:color="auto" w:fill="FFFFFF"/>
    </w:rPr>
  </w:style>
  <w:style w:type="character" w:customStyle="1" w:styleId="MappadocumentoCarattere">
    <w:name w:val="Mappa documento Carattere"/>
    <w:basedOn w:val="Carpredefinitoparagrafo"/>
    <w:link w:val="Mappadocumento"/>
    <w:uiPriority w:val="99"/>
    <w:rsid w:val="00F252A3"/>
    <w:rPr>
      <w:rFonts w:ascii="Tahoma" w:hAnsi="Tahoma" w:cs="Tahoma"/>
      <w:sz w:val="22"/>
      <w:shd w:val="clear" w:color="auto" w:fill="000080"/>
    </w:rPr>
  </w:style>
  <w:style w:type="paragraph" w:styleId="Finemodulo-z">
    <w:name w:val="HTML Bottom of Form"/>
    <w:basedOn w:val="Normale"/>
    <w:next w:val="Normale"/>
    <w:link w:val="Finemodulo-zCarattere"/>
    <w:uiPriority w:val="99"/>
    <w:rsid w:val="00F252A3"/>
    <w:pPr>
      <w:pBdr>
        <w:top w:val="single" w:sz="6" w:space="0" w:color="auto"/>
      </w:pBdr>
      <w:autoSpaceDE w:val="0"/>
      <w:autoSpaceDN w:val="0"/>
      <w:adjustRightInd w:val="0"/>
      <w:jc w:val="center"/>
    </w:pPr>
    <w:rPr>
      <w:rFonts w:eastAsiaTheme="minorEastAsia" w:cs="Arial"/>
      <w:vanish/>
      <w:color w:val="0033CC"/>
      <w:sz w:val="16"/>
      <w:szCs w:val="16"/>
      <w:shd w:val="clear" w:color="auto" w:fill="FFFFFF"/>
    </w:rPr>
  </w:style>
  <w:style w:type="character" w:customStyle="1" w:styleId="Finemodulo-zCarattere">
    <w:name w:val="Fine modulo -z Carattere"/>
    <w:basedOn w:val="Carpredefinitoparagrafo"/>
    <w:link w:val="Finemodulo-z"/>
    <w:uiPriority w:val="99"/>
    <w:rsid w:val="00F252A3"/>
    <w:rPr>
      <w:rFonts w:ascii="Arial" w:eastAsiaTheme="minorEastAsia" w:hAnsi="Arial" w:cs="Arial"/>
      <w:vanish/>
      <w:color w:val="0033CC"/>
      <w:sz w:val="16"/>
      <w:szCs w:val="16"/>
    </w:rPr>
  </w:style>
  <w:style w:type="character" w:customStyle="1" w:styleId="hcp5">
    <w:name w:val="hcp5"/>
    <w:uiPriority w:val="99"/>
    <w:rsid w:val="00F252A3"/>
    <w:rPr>
      <w:color w:val="000000"/>
      <w:shd w:val="clear" w:color="auto" w:fill="FFFFFF"/>
    </w:rPr>
  </w:style>
  <w:style w:type="paragraph" w:customStyle="1" w:styleId="Stile6">
    <w:name w:val="Stile6"/>
    <w:next w:val="Normale"/>
    <w:uiPriority w:val="99"/>
    <w:rsid w:val="00F252A3"/>
    <w:pPr>
      <w:widowControl w:val="0"/>
      <w:autoSpaceDE w:val="0"/>
      <w:autoSpaceDN w:val="0"/>
      <w:adjustRightInd w:val="0"/>
    </w:pPr>
    <w:rPr>
      <w:rFonts w:ascii="Arial" w:eastAsiaTheme="minorEastAsia" w:hAnsi="Arial" w:cs="Arial"/>
      <w:color w:val="000000"/>
      <w:sz w:val="24"/>
      <w:szCs w:val="24"/>
      <w:shd w:val="clear" w:color="auto" w:fill="FFFFFF"/>
    </w:rPr>
  </w:style>
  <w:style w:type="paragraph" w:customStyle="1" w:styleId="mnormale">
    <w:name w:val="mnormale"/>
    <w:uiPriority w:val="99"/>
    <w:rsid w:val="00F252A3"/>
    <w:pPr>
      <w:widowControl w:val="0"/>
      <w:autoSpaceDE w:val="0"/>
      <w:autoSpaceDN w:val="0"/>
      <w:adjustRightInd w:val="0"/>
      <w:spacing w:before="100" w:after="100"/>
    </w:pPr>
    <w:rPr>
      <w:rFonts w:ascii="Arial" w:eastAsiaTheme="minorEastAsia" w:hAnsi="Arial" w:cs="Arial"/>
      <w:color w:val="000000"/>
      <w:sz w:val="24"/>
      <w:szCs w:val="24"/>
      <w:shd w:val="clear" w:color="auto" w:fill="FFFFFF"/>
    </w:rPr>
  </w:style>
  <w:style w:type="paragraph" w:customStyle="1" w:styleId="ItaOggi">
    <w:name w:val="ItaOggi"/>
    <w:uiPriority w:val="99"/>
    <w:rsid w:val="00F252A3"/>
    <w:pPr>
      <w:widowControl w:val="0"/>
      <w:autoSpaceDE w:val="0"/>
      <w:autoSpaceDN w:val="0"/>
      <w:adjustRightInd w:val="0"/>
      <w:spacing w:line="200" w:lineRule="exact"/>
      <w:ind w:firstLine="170"/>
      <w:jc w:val="both"/>
    </w:pPr>
    <w:rPr>
      <w:rFonts w:ascii="Arial" w:eastAsiaTheme="minorEastAsia" w:hAnsi="Arial" w:cs="Arial"/>
      <w:color w:val="000000"/>
      <w:sz w:val="18"/>
      <w:szCs w:val="18"/>
      <w:shd w:val="clear" w:color="auto" w:fill="FFFFFF"/>
    </w:rPr>
  </w:style>
  <w:style w:type="paragraph" w:customStyle="1" w:styleId="tabella">
    <w:name w:val="tabella"/>
    <w:uiPriority w:val="99"/>
    <w:rsid w:val="00F252A3"/>
    <w:pPr>
      <w:widowControl w:val="0"/>
      <w:autoSpaceDE w:val="0"/>
      <w:autoSpaceDN w:val="0"/>
      <w:adjustRightInd w:val="0"/>
      <w:spacing w:line="200" w:lineRule="exact"/>
      <w:jc w:val="both"/>
    </w:pPr>
    <w:rPr>
      <w:rFonts w:ascii="Arial" w:eastAsiaTheme="minorEastAsia" w:hAnsi="Arial" w:cs="Arial"/>
      <w:color w:val="000000"/>
      <w:sz w:val="18"/>
      <w:szCs w:val="18"/>
      <w:shd w:val="clear" w:color="auto" w:fill="FFFFFF"/>
    </w:rPr>
  </w:style>
  <w:style w:type="character" w:customStyle="1" w:styleId="CarattereCarattere">
    <w:name w:val="Carattere Carattere"/>
    <w:uiPriority w:val="99"/>
    <w:rsid w:val="00F252A3"/>
    <w:rPr>
      <w:color w:val="000000"/>
      <w:sz w:val="28"/>
      <w:szCs w:val="28"/>
      <w:shd w:val="clear" w:color="auto" w:fill="FFFFFF"/>
    </w:rPr>
  </w:style>
  <w:style w:type="paragraph" w:customStyle="1" w:styleId="VariabiliTabelle">
    <w:name w:val="Variabili Tabelle"/>
    <w:next w:val="Normale"/>
    <w:uiPriority w:val="99"/>
    <w:rsid w:val="00F252A3"/>
    <w:pPr>
      <w:widowControl w:val="0"/>
      <w:autoSpaceDE w:val="0"/>
      <w:autoSpaceDN w:val="0"/>
      <w:adjustRightInd w:val="0"/>
      <w:jc w:val="center"/>
    </w:pPr>
    <w:rPr>
      <w:rFonts w:ascii="Tahoma" w:eastAsiaTheme="minorEastAsia" w:hAnsi="Tahoma" w:cs="Tahoma"/>
      <w:color w:val="000000"/>
      <w:sz w:val="18"/>
      <w:szCs w:val="18"/>
      <w:shd w:val="clear" w:color="auto" w:fill="FFFFFF"/>
    </w:rPr>
  </w:style>
  <w:style w:type="paragraph" w:customStyle="1" w:styleId="Tabelle0">
    <w:name w:val="Tabelle"/>
    <w:next w:val="Normale"/>
    <w:uiPriority w:val="99"/>
    <w:rsid w:val="00F252A3"/>
    <w:pPr>
      <w:widowControl w:val="0"/>
      <w:autoSpaceDE w:val="0"/>
      <w:autoSpaceDN w:val="0"/>
      <w:adjustRightInd w:val="0"/>
      <w:jc w:val="center"/>
    </w:pPr>
    <w:rPr>
      <w:rFonts w:ascii="Tahoma" w:eastAsiaTheme="minorEastAsia" w:hAnsi="Tahoma" w:cs="Tahoma"/>
      <w:color w:val="000000"/>
      <w:sz w:val="18"/>
      <w:szCs w:val="18"/>
      <w:shd w:val="clear" w:color="auto" w:fill="FFFFFF"/>
    </w:rPr>
  </w:style>
  <w:style w:type="paragraph" w:customStyle="1" w:styleId="StileTahoma10ptAutomaticoInferioreSingolaAutomatico">
    <w:name w:val="Stile Tahoma 10 pt Automatico Inferiore: (Singola Automatico  ."/>
    <w:uiPriority w:val="99"/>
    <w:rsid w:val="00F252A3"/>
    <w:pPr>
      <w:widowControl w:val="0"/>
      <w:pBdr>
        <w:bottom w:val="single" w:sz="6" w:space="0" w:color="auto"/>
      </w:pBdr>
      <w:autoSpaceDE w:val="0"/>
      <w:autoSpaceDN w:val="0"/>
      <w:adjustRightInd w:val="0"/>
      <w:jc w:val="both"/>
    </w:pPr>
    <w:rPr>
      <w:rFonts w:ascii="Tahoma" w:eastAsiaTheme="minorEastAsia" w:hAnsi="Tahoma" w:cs="Tahoma"/>
      <w:color w:val="000000"/>
      <w:shd w:val="clear" w:color="auto" w:fill="FFFFFF"/>
    </w:rPr>
  </w:style>
  <w:style w:type="paragraph" w:customStyle="1" w:styleId="RigaSopraTitolo1">
    <w:name w:val="Riga Sopra Titolo 1"/>
    <w:next w:val="Titolo1"/>
    <w:uiPriority w:val="99"/>
    <w:rsid w:val="00F252A3"/>
    <w:pPr>
      <w:keepNext/>
      <w:widowControl w:val="0"/>
      <w:autoSpaceDE w:val="0"/>
      <w:autoSpaceDN w:val="0"/>
      <w:adjustRightInd w:val="0"/>
      <w:jc w:val="center"/>
    </w:pPr>
    <w:rPr>
      <w:rFonts w:ascii="Tahoma" w:eastAsiaTheme="minorEastAsia" w:hAnsi="Tahoma" w:cs="Tahoma"/>
      <w:color w:val="000000"/>
      <w:sz w:val="28"/>
      <w:szCs w:val="28"/>
      <w:shd w:val="clear" w:color="auto" w:fill="FFFFFF"/>
    </w:rPr>
  </w:style>
  <w:style w:type="paragraph" w:customStyle="1" w:styleId="Legenda">
    <w:name w:val="Legenda"/>
    <w:next w:val="Normale"/>
    <w:uiPriority w:val="99"/>
    <w:rsid w:val="00F252A3"/>
    <w:pPr>
      <w:widowControl w:val="0"/>
      <w:autoSpaceDE w:val="0"/>
      <w:autoSpaceDN w:val="0"/>
      <w:adjustRightInd w:val="0"/>
      <w:ind w:left="850" w:hanging="850"/>
      <w:jc w:val="both"/>
    </w:pPr>
    <w:rPr>
      <w:rFonts w:ascii="Arial" w:eastAsiaTheme="minorEastAsia" w:hAnsi="Arial" w:cs="Arial"/>
      <w:color w:val="000000"/>
      <w:sz w:val="18"/>
      <w:szCs w:val="18"/>
      <w:shd w:val="clear" w:color="auto" w:fill="FFFFFF"/>
    </w:rPr>
  </w:style>
  <w:style w:type="paragraph" w:customStyle="1" w:styleId="Formule">
    <w:name w:val="Formule"/>
    <w:next w:val="Normale"/>
    <w:uiPriority w:val="99"/>
    <w:rsid w:val="00F252A3"/>
    <w:pPr>
      <w:widowControl w:val="0"/>
      <w:autoSpaceDE w:val="0"/>
      <w:autoSpaceDN w:val="0"/>
      <w:adjustRightInd w:val="0"/>
      <w:jc w:val="center"/>
    </w:pPr>
    <w:rPr>
      <w:rFonts w:ascii="Arial" w:eastAsiaTheme="minorEastAsia" w:hAnsi="Arial" w:cs="Arial"/>
      <w:color w:val="000000"/>
      <w:sz w:val="18"/>
      <w:szCs w:val="18"/>
      <w:shd w:val="clear" w:color="auto" w:fill="FFFFFF"/>
    </w:rPr>
  </w:style>
  <w:style w:type="paragraph" w:customStyle="1" w:styleId="VariabiliIdentificativiPersone">
    <w:name w:val="Variabili Identificativi Persone"/>
    <w:next w:val="Normale"/>
    <w:uiPriority w:val="99"/>
    <w:rsid w:val="00F252A3"/>
    <w:pPr>
      <w:widowControl w:val="0"/>
      <w:autoSpaceDE w:val="0"/>
      <w:autoSpaceDN w:val="0"/>
      <w:adjustRightInd w:val="0"/>
      <w:jc w:val="center"/>
    </w:pPr>
    <w:rPr>
      <w:rFonts w:ascii="Tahoma" w:eastAsiaTheme="minorEastAsia" w:hAnsi="Tahoma" w:cs="Tahoma"/>
      <w:color w:val="000000"/>
      <w:sz w:val="18"/>
      <w:szCs w:val="18"/>
      <w:shd w:val="clear" w:color="auto" w:fill="FFFFFF"/>
    </w:rPr>
  </w:style>
  <w:style w:type="paragraph" w:customStyle="1" w:styleId="IntestazioneResponsabili">
    <w:name w:val="Intestazione Responsabili"/>
    <w:uiPriority w:val="99"/>
    <w:rsid w:val="00F252A3"/>
    <w:pPr>
      <w:widowControl w:val="0"/>
      <w:autoSpaceDE w:val="0"/>
      <w:autoSpaceDN w:val="0"/>
      <w:adjustRightInd w:val="0"/>
      <w:jc w:val="center"/>
    </w:pPr>
    <w:rPr>
      <w:rFonts w:ascii="Tahoma" w:eastAsiaTheme="minorEastAsia" w:hAnsi="Tahoma" w:cs="Tahoma"/>
      <w:color w:val="000000"/>
      <w:shd w:val="clear" w:color="auto" w:fill="FFFFFF"/>
    </w:rPr>
  </w:style>
  <w:style w:type="paragraph" w:customStyle="1" w:styleId="ProvinciaeData">
    <w:name w:val="Provincia e Data"/>
    <w:uiPriority w:val="99"/>
    <w:rsid w:val="00F252A3"/>
    <w:pPr>
      <w:widowControl w:val="0"/>
      <w:autoSpaceDE w:val="0"/>
      <w:autoSpaceDN w:val="0"/>
      <w:adjustRightInd w:val="0"/>
      <w:ind w:left="15"/>
      <w:jc w:val="both"/>
    </w:pPr>
    <w:rPr>
      <w:rFonts w:ascii="Tahoma" w:eastAsiaTheme="minorEastAsia" w:hAnsi="Tahoma" w:cs="Tahoma"/>
      <w:color w:val="000000"/>
      <w:shd w:val="clear" w:color="auto" w:fill="FFFFFF"/>
    </w:rPr>
  </w:style>
  <w:style w:type="paragraph" w:customStyle="1" w:styleId="Normativa">
    <w:name w:val="Normativa"/>
    <w:next w:val="Normale"/>
    <w:uiPriority w:val="99"/>
    <w:rsid w:val="00F252A3"/>
    <w:pPr>
      <w:widowControl w:val="0"/>
      <w:autoSpaceDE w:val="0"/>
      <w:autoSpaceDN w:val="0"/>
      <w:adjustRightInd w:val="0"/>
      <w:spacing w:after="120"/>
      <w:ind w:firstLine="851"/>
    </w:pPr>
    <w:rPr>
      <w:rFonts w:ascii="Arial" w:eastAsiaTheme="minorEastAsia" w:hAnsi="Arial" w:cs="Arial"/>
      <w:i/>
      <w:iCs/>
      <w:color w:val="0000FF"/>
      <w:shd w:val="clear" w:color="auto" w:fill="FFFFFF"/>
    </w:rPr>
  </w:style>
  <w:style w:type="paragraph" w:customStyle="1" w:styleId="TestoNormale0">
    <w:name w:val="TestoNormale"/>
    <w:uiPriority w:val="99"/>
    <w:rsid w:val="00F252A3"/>
    <w:pPr>
      <w:widowControl w:val="0"/>
      <w:autoSpaceDE w:val="0"/>
      <w:autoSpaceDN w:val="0"/>
      <w:adjustRightInd w:val="0"/>
      <w:spacing w:before="120" w:after="120"/>
      <w:ind w:firstLine="851"/>
      <w:jc w:val="both"/>
    </w:pPr>
    <w:rPr>
      <w:rFonts w:ascii="Arial" w:eastAsiaTheme="minorEastAsia" w:hAnsi="Arial" w:cs="Arial"/>
      <w:color w:val="000000"/>
      <w:sz w:val="24"/>
      <w:szCs w:val="24"/>
      <w:shd w:val="clear" w:color="auto" w:fill="FFFFFF"/>
    </w:rPr>
  </w:style>
  <w:style w:type="character" w:customStyle="1" w:styleId="TestoNormaleCarattere0">
    <w:name w:val="TestoNormale Carattere"/>
    <w:uiPriority w:val="99"/>
    <w:rsid w:val="00F252A3"/>
    <w:rPr>
      <w:color w:val="000000"/>
      <w:sz w:val="16"/>
      <w:szCs w:val="16"/>
      <w:shd w:val="clear" w:color="auto" w:fill="FFFFFF"/>
    </w:rPr>
  </w:style>
  <w:style w:type="character" w:customStyle="1" w:styleId="CarattereCarattere2">
    <w:name w:val="Carattere Carattere2"/>
    <w:uiPriority w:val="99"/>
    <w:rsid w:val="00F252A3"/>
    <w:rPr>
      <w:b/>
      <w:bCs/>
      <w:color w:val="008080"/>
      <w:shd w:val="clear" w:color="auto" w:fill="FFFFFF"/>
    </w:rPr>
  </w:style>
  <w:style w:type="paragraph" w:styleId="Elencocontinua">
    <w:name w:val="List Continue"/>
    <w:basedOn w:val="Normale"/>
    <w:uiPriority w:val="99"/>
    <w:rsid w:val="00F252A3"/>
    <w:pPr>
      <w:numPr>
        <w:numId w:val="1"/>
      </w:numPr>
      <w:autoSpaceDE w:val="0"/>
      <w:autoSpaceDN w:val="0"/>
      <w:adjustRightInd w:val="0"/>
      <w:spacing w:after="120" w:line="360" w:lineRule="auto"/>
    </w:pPr>
    <w:rPr>
      <w:rFonts w:eastAsiaTheme="minorEastAsia" w:cs="Arial"/>
      <w:color w:val="000000"/>
      <w:sz w:val="24"/>
      <w:szCs w:val="24"/>
      <w:shd w:val="clear" w:color="auto" w:fill="FFFFFF"/>
    </w:rPr>
  </w:style>
  <w:style w:type="paragraph" w:customStyle="1" w:styleId="Pidipagina0">
    <w:name w:val="Pi_ di pagina"/>
    <w:uiPriority w:val="99"/>
    <w:rsid w:val="00F252A3"/>
    <w:pPr>
      <w:widowControl w:val="0"/>
      <w:autoSpaceDE w:val="0"/>
      <w:autoSpaceDN w:val="0"/>
      <w:adjustRightInd w:val="0"/>
      <w:spacing w:line="360" w:lineRule="auto"/>
      <w:ind w:firstLine="567"/>
      <w:jc w:val="both"/>
    </w:pPr>
    <w:rPr>
      <w:rFonts w:ascii="Arial" w:eastAsiaTheme="minorEastAsia" w:hAnsi="Arial" w:cs="Arial"/>
      <w:color w:val="000000"/>
      <w:sz w:val="24"/>
      <w:szCs w:val="24"/>
      <w:shd w:val="clear" w:color="auto" w:fill="FFFFFF"/>
    </w:rPr>
  </w:style>
  <w:style w:type="paragraph" w:customStyle="1" w:styleId="p5">
    <w:name w:val="p5"/>
    <w:uiPriority w:val="99"/>
    <w:rsid w:val="00F252A3"/>
    <w:pPr>
      <w:widowControl w:val="0"/>
      <w:autoSpaceDE w:val="0"/>
      <w:autoSpaceDN w:val="0"/>
      <w:adjustRightInd w:val="0"/>
      <w:spacing w:line="220" w:lineRule="atLeast"/>
    </w:pPr>
    <w:rPr>
      <w:rFonts w:ascii="Arial" w:eastAsiaTheme="minorEastAsia" w:hAnsi="Arial" w:cs="Arial"/>
      <w:color w:val="000000"/>
      <w:sz w:val="24"/>
      <w:szCs w:val="24"/>
      <w:shd w:val="clear" w:color="auto" w:fill="FFFFFF"/>
    </w:rPr>
  </w:style>
  <w:style w:type="paragraph" w:customStyle="1" w:styleId="p13">
    <w:name w:val="p13"/>
    <w:uiPriority w:val="99"/>
    <w:rsid w:val="00F252A3"/>
    <w:pPr>
      <w:widowControl w:val="0"/>
      <w:autoSpaceDE w:val="0"/>
      <w:autoSpaceDN w:val="0"/>
      <w:adjustRightInd w:val="0"/>
      <w:spacing w:line="220" w:lineRule="atLeast"/>
      <w:jc w:val="both"/>
    </w:pPr>
    <w:rPr>
      <w:rFonts w:ascii="Arial" w:eastAsiaTheme="minorEastAsia" w:hAnsi="Arial" w:cs="Arial"/>
      <w:color w:val="000000"/>
      <w:sz w:val="24"/>
      <w:szCs w:val="24"/>
      <w:shd w:val="clear" w:color="auto" w:fill="FFFFFF"/>
    </w:rPr>
  </w:style>
  <w:style w:type="paragraph" w:customStyle="1" w:styleId="p17">
    <w:name w:val="p17"/>
    <w:uiPriority w:val="99"/>
    <w:rsid w:val="00F252A3"/>
    <w:pPr>
      <w:widowControl w:val="0"/>
      <w:autoSpaceDE w:val="0"/>
      <w:autoSpaceDN w:val="0"/>
      <w:adjustRightInd w:val="0"/>
      <w:spacing w:line="240" w:lineRule="atLeast"/>
      <w:jc w:val="both"/>
    </w:pPr>
    <w:rPr>
      <w:rFonts w:ascii="Arial" w:eastAsiaTheme="minorEastAsia" w:hAnsi="Arial" w:cs="Arial"/>
      <w:color w:val="000000"/>
      <w:sz w:val="24"/>
      <w:szCs w:val="24"/>
      <w:shd w:val="clear" w:color="auto" w:fill="FFFFFF"/>
    </w:rPr>
  </w:style>
  <w:style w:type="paragraph" w:customStyle="1" w:styleId="p19">
    <w:name w:val="p19"/>
    <w:uiPriority w:val="99"/>
    <w:rsid w:val="00F252A3"/>
    <w:pPr>
      <w:widowControl w:val="0"/>
      <w:autoSpaceDE w:val="0"/>
      <w:autoSpaceDN w:val="0"/>
      <w:adjustRightInd w:val="0"/>
      <w:spacing w:line="240" w:lineRule="atLeast"/>
    </w:pPr>
    <w:rPr>
      <w:rFonts w:ascii="Arial" w:eastAsiaTheme="minorEastAsia" w:hAnsi="Arial" w:cs="Arial"/>
      <w:color w:val="000000"/>
      <w:sz w:val="24"/>
      <w:szCs w:val="24"/>
      <w:shd w:val="clear" w:color="auto" w:fill="FFFFFF"/>
    </w:rPr>
  </w:style>
  <w:style w:type="paragraph" w:customStyle="1" w:styleId="p20">
    <w:name w:val="p20"/>
    <w:uiPriority w:val="99"/>
    <w:rsid w:val="00F252A3"/>
    <w:pPr>
      <w:widowControl w:val="0"/>
      <w:autoSpaceDE w:val="0"/>
      <w:autoSpaceDN w:val="0"/>
      <w:adjustRightInd w:val="0"/>
      <w:spacing w:line="240" w:lineRule="atLeast"/>
    </w:pPr>
    <w:rPr>
      <w:rFonts w:ascii="Arial" w:eastAsiaTheme="minorEastAsia" w:hAnsi="Arial" w:cs="Arial"/>
      <w:color w:val="000000"/>
      <w:sz w:val="24"/>
      <w:szCs w:val="24"/>
      <w:shd w:val="clear" w:color="auto" w:fill="FFFFFF"/>
    </w:rPr>
  </w:style>
  <w:style w:type="paragraph" w:customStyle="1" w:styleId="p23">
    <w:name w:val="p23"/>
    <w:uiPriority w:val="99"/>
    <w:rsid w:val="00F252A3"/>
    <w:pPr>
      <w:widowControl w:val="0"/>
      <w:autoSpaceDE w:val="0"/>
      <w:autoSpaceDN w:val="0"/>
      <w:adjustRightInd w:val="0"/>
      <w:spacing w:line="240" w:lineRule="atLeast"/>
      <w:jc w:val="both"/>
    </w:pPr>
    <w:rPr>
      <w:rFonts w:ascii="Arial" w:eastAsiaTheme="minorEastAsia" w:hAnsi="Arial" w:cs="Arial"/>
      <w:color w:val="000000"/>
      <w:sz w:val="24"/>
      <w:szCs w:val="24"/>
      <w:shd w:val="clear" w:color="auto" w:fill="FFFFFF"/>
    </w:rPr>
  </w:style>
  <w:style w:type="paragraph" w:customStyle="1" w:styleId="Stile5">
    <w:name w:val="Stile5"/>
    <w:next w:val="Normale"/>
    <w:uiPriority w:val="99"/>
    <w:rsid w:val="00F252A3"/>
    <w:pPr>
      <w:widowControl w:val="0"/>
      <w:autoSpaceDE w:val="0"/>
      <w:autoSpaceDN w:val="0"/>
      <w:adjustRightInd w:val="0"/>
    </w:pPr>
    <w:rPr>
      <w:rFonts w:ascii="Arial" w:eastAsiaTheme="minorEastAsia" w:hAnsi="Arial" w:cs="Arial"/>
      <w:color w:val="000000"/>
      <w:sz w:val="24"/>
      <w:szCs w:val="24"/>
      <w:shd w:val="clear" w:color="auto" w:fill="FFFFFF"/>
    </w:rPr>
  </w:style>
  <w:style w:type="paragraph" w:customStyle="1" w:styleId="p66">
    <w:name w:val="p66"/>
    <w:uiPriority w:val="99"/>
    <w:rsid w:val="00F252A3"/>
    <w:pPr>
      <w:widowControl w:val="0"/>
      <w:autoSpaceDE w:val="0"/>
      <w:autoSpaceDN w:val="0"/>
      <w:adjustRightInd w:val="0"/>
      <w:spacing w:line="220" w:lineRule="atLeast"/>
      <w:jc w:val="both"/>
    </w:pPr>
    <w:rPr>
      <w:rFonts w:ascii="Arial" w:eastAsiaTheme="minorEastAsia" w:hAnsi="Arial" w:cs="Arial"/>
      <w:color w:val="000000"/>
      <w:sz w:val="24"/>
      <w:szCs w:val="24"/>
      <w:shd w:val="clear" w:color="auto" w:fill="FFFFFF"/>
    </w:rPr>
  </w:style>
  <w:style w:type="paragraph" w:customStyle="1" w:styleId="c3">
    <w:name w:val="c3"/>
    <w:uiPriority w:val="99"/>
    <w:rsid w:val="00F252A3"/>
    <w:pPr>
      <w:widowControl w:val="0"/>
      <w:autoSpaceDE w:val="0"/>
      <w:autoSpaceDN w:val="0"/>
      <w:adjustRightInd w:val="0"/>
      <w:spacing w:line="240" w:lineRule="atLeast"/>
      <w:jc w:val="center"/>
    </w:pPr>
    <w:rPr>
      <w:rFonts w:ascii="Arial" w:eastAsiaTheme="minorEastAsia" w:hAnsi="Arial" w:cs="Arial"/>
      <w:color w:val="000000"/>
      <w:sz w:val="24"/>
      <w:szCs w:val="24"/>
      <w:shd w:val="clear" w:color="auto" w:fill="FFFFFF"/>
    </w:rPr>
  </w:style>
  <w:style w:type="paragraph" w:customStyle="1" w:styleId="t1">
    <w:name w:val="t1"/>
    <w:uiPriority w:val="99"/>
    <w:rsid w:val="00F252A3"/>
    <w:pPr>
      <w:widowControl w:val="0"/>
      <w:autoSpaceDE w:val="0"/>
      <w:autoSpaceDN w:val="0"/>
      <w:adjustRightInd w:val="0"/>
      <w:spacing w:line="240" w:lineRule="atLeast"/>
    </w:pPr>
    <w:rPr>
      <w:rFonts w:ascii="Arial" w:eastAsiaTheme="minorEastAsia" w:hAnsi="Arial" w:cs="Arial"/>
      <w:color w:val="000000"/>
      <w:sz w:val="24"/>
      <w:szCs w:val="24"/>
      <w:shd w:val="clear" w:color="auto" w:fill="FFFFFF"/>
    </w:rPr>
  </w:style>
  <w:style w:type="paragraph" w:customStyle="1" w:styleId="t2">
    <w:name w:val="t2"/>
    <w:uiPriority w:val="99"/>
    <w:rsid w:val="00F252A3"/>
    <w:pPr>
      <w:widowControl w:val="0"/>
      <w:autoSpaceDE w:val="0"/>
      <w:autoSpaceDN w:val="0"/>
      <w:adjustRightInd w:val="0"/>
      <w:spacing w:line="520" w:lineRule="atLeast"/>
    </w:pPr>
    <w:rPr>
      <w:rFonts w:ascii="Arial" w:eastAsiaTheme="minorEastAsia" w:hAnsi="Arial" w:cs="Arial"/>
      <w:color w:val="000000"/>
      <w:sz w:val="24"/>
      <w:szCs w:val="24"/>
      <w:shd w:val="clear" w:color="auto" w:fill="FFFFFF"/>
    </w:rPr>
  </w:style>
  <w:style w:type="paragraph" w:customStyle="1" w:styleId="p6">
    <w:name w:val="p6"/>
    <w:uiPriority w:val="99"/>
    <w:rsid w:val="00F252A3"/>
    <w:pPr>
      <w:widowControl w:val="0"/>
      <w:autoSpaceDE w:val="0"/>
      <w:autoSpaceDN w:val="0"/>
      <w:adjustRightInd w:val="0"/>
      <w:spacing w:line="240" w:lineRule="atLeast"/>
      <w:ind w:left="6624" w:hanging="7776"/>
    </w:pPr>
    <w:rPr>
      <w:rFonts w:ascii="Arial" w:eastAsiaTheme="minorEastAsia" w:hAnsi="Arial" w:cs="Arial"/>
      <w:color w:val="000000"/>
      <w:sz w:val="24"/>
      <w:szCs w:val="24"/>
      <w:shd w:val="clear" w:color="auto" w:fill="FFFFFF"/>
    </w:rPr>
  </w:style>
  <w:style w:type="paragraph" w:customStyle="1" w:styleId="p7">
    <w:name w:val="p7"/>
    <w:uiPriority w:val="99"/>
    <w:rsid w:val="00F252A3"/>
    <w:pPr>
      <w:widowControl w:val="0"/>
      <w:autoSpaceDE w:val="0"/>
      <w:autoSpaceDN w:val="0"/>
      <w:adjustRightInd w:val="0"/>
      <w:spacing w:line="240" w:lineRule="atLeast"/>
      <w:ind w:left="720" w:hanging="432"/>
    </w:pPr>
    <w:rPr>
      <w:rFonts w:ascii="Arial" w:eastAsiaTheme="minorEastAsia" w:hAnsi="Arial" w:cs="Arial"/>
      <w:color w:val="000000"/>
      <w:sz w:val="24"/>
      <w:szCs w:val="24"/>
      <w:shd w:val="clear" w:color="auto" w:fill="FFFFFF"/>
    </w:rPr>
  </w:style>
  <w:style w:type="paragraph" w:customStyle="1" w:styleId="p9">
    <w:name w:val="p9"/>
    <w:uiPriority w:val="99"/>
    <w:rsid w:val="00F252A3"/>
    <w:pPr>
      <w:widowControl w:val="0"/>
      <w:autoSpaceDE w:val="0"/>
      <w:autoSpaceDN w:val="0"/>
      <w:adjustRightInd w:val="0"/>
      <w:spacing w:line="240" w:lineRule="atLeast"/>
      <w:ind w:left="2304" w:hanging="288"/>
    </w:pPr>
    <w:rPr>
      <w:rFonts w:ascii="Arial" w:eastAsiaTheme="minorEastAsia" w:hAnsi="Arial" w:cs="Arial"/>
      <w:color w:val="000000"/>
      <w:sz w:val="24"/>
      <w:szCs w:val="24"/>
      <w:shd w:val="clear" w:color="auto" w:fill="FFFFFF"/>
    </w:rPr>
  </w:style>
  <w:style w:type="paragraph" w:customStyle="1" w:styleId="p11">
    <w:name w:val="p11"/>
    <w:uiPriority w:val="99"/>
    <w:rsid w:val="00F252A3"/>
    <w:pPr>
      <w:widowControl w:val="0"/>
      <w:autoSpaceDE w:val="0"/>
      <w:autoSpaceDN w:val="0"/>
      <w:adjustRightInd w:val="0"/>
      <w:spacing w:line="260" w:lineRule="atLeast"/>
    </w:pPr>
    <w:rPr>
      <w:rFonts w:ascii="Arial" w:eastAsiaTheme="minorEastAsia" w:hAnsi="Arial" w:cs="Arial"/>
      <w:color w:val="000000"/>
      <w:sz w:val="24"/>
      <w:szCs w:val="24"/>
      <w:shd w:val="clear" w:color="auto" w:fill="FFFFFF"/>
    </w:rPr>
  </w:style>
  <w:style w:type="paragraph" w:customStyle="1" w:styleId="Elenco21">
    <w:name w:val="Elenco 21"/>
    <w:uiPriority w:val="99"/>
    <w:rsid w:val="00F252A3"/>
    <w:pPr>
      <w:widowControl w:val="0"/>
      <w:autoSpaceDE w:val="0"/>
      <w:autoSpaceDN w:val="0"/>
      <w:adjustRightInd w:val="0"/>
      <w:ind w:left="566" w:hanging="283"/>
    </w:pPr>
    <w:rPr>
      <w:rFonts w:ascii="Courier New" w:eastAsiaTheme="minorEastAsia" w:hAnsi="Courier New" w:cs="Courier New"/>
      <w:color w:val="000000"/>
      <w:sz w:val="24"/>
      <w:szCs w:val="24"/>
      <w:shd w:val="clear" w:color="auto" w:fill="FFFFFF"/>
    </w:rPr>
  </w:style>
  <w:style w:type="paragraph" w:customStyle="1" w:styleId="p18">
    <w:name w:val="p18"/>
    <w:uiPriority w:val="99"/>
    <w:rsid w:val="00F252A3"/>
    <w:pPr>
      <w:widowControl w:val="0"/>
      <w:autoSpaceDE w:val="0"/>
      <w:autoSpaceDN w:val="0"/>
      <w:adjustRightInd w:val="0"/>
      <w:spacing w:line="460" w:lineRule="atLeast"/>
      <w:ind w:left="720" w:hanging="144"/>
    </w:pPr>
    <w:rPr>
      <w:rFonts w:ascii="Arial" w:eastAsiaTheme="minorEastAsia" w:hAnsi="Arial" w:cs="Arial"/>
      <w:color w:val="000000"/>
      <w:sz w:val="24"/>
      <w:szCs w:val="24"/>
      <w:shd w:val="clear" w:color="auto" w:fill="FFFFFF"/>
    </w:rPr>
  </w:style>
  <w:style w:type="paragraph" w:customStyle="1" w:styleId="Predefinito">
    <w:name w:val="Predefinito"/>
    <w:next w:val="Normale"/>
    <w:uiPriority w:val="99"/>
    <w:rsid w:val="00F252A3"/>
    <w:pPr>
      <w:widowControl w:val="0"/>
      <w:autoSpaceDE w:val="0"/>
      <w:autoSpaceDN w:val="0"/>
      <w:adjustRightInd w:val="0"/>
    </w:pPr>
    <w:rPr>
      <w:rFonts w:ascii="Arial" w:eastAsiaTheme="minorEastAsia" w:hAnsi="Arial" w:cs="Arial"/>
      <w:sz w:val="24"/>
      <w:szCs w:val="24"/>
    </w:rPr>
  </w:style>
  <w:style w:type="character" w:customStyle="1" w:styleId="WW8Num1z0">
    <w:name w:val="WW8Num1z0"/>
    <w:uiPriority w:val="99"/>
    <w:rsid w:val="00F252A3"/>
  </w:style>
  <w:style w:type="character" w:customStyle="1" w:styleId="Enfasiforte">
    <w:name w:val="Enfasi forte"/>
    <w:uiPriority w:val="99"/>
    <w:rsid w:val="00F252A3"/>
    <w:rPr>
      <w:b/>
      <w:bCs/>
    </w:rPr>
  </w:style>
  <w:style w:type="character" w:customStyle="1" w:styleId="CollegamentoInternet">
    <w:name w:val="Collegamento Internet"/>
    <w:uiPriority w:val="99"/>
    <w:rsid w:val="00F252A3"/>
    <w:rPr>
      <w:color w:val="0000FF"/>
      <w:u w:val="single"/>
    </w:rPr>
  </w:style>
  <w:style w:type="character" w:customStyle="1" w:styleId="CollegamentoInternetvisitato">
    <w:name w:val="Collegamento Internet visitato"/>
    <w:uiPriority w:val="99"/>
    <w:rsid w:val="00F252A3"/>
    <w:rPr>
      <w:color w:val="800080"/>
      <w:u w:val="single"/>
    </w:rPr>
  </w:style>
  <w:style w:type="paragraph" w:customStyle="1" w:styleId="TESTO0">
    <w:name w:val="TESTO"/>
    <w:next w:val="Normale"/>
    <w:uiPriority w:val="99"/>
    <w:rsid w:val="00F252A3"/>
    <w:pPr>
      <w:widowControl w:val="0"/>
      <w:autoSpaceDE w:val="0"/>
      <w:autoSpaceDN w:val="0"/>
      <w:adjustRightInd w:val="0"/>
      <w:spacing w:line="256" w:lineRule="atLeast"/>
      <w:ind w:firstLine="283"/>
      <w:jc w:val="both"/>
    </w:pPr>
    <w:rPr>
      <w:rFonts w:ascii="Arial" w:eastAsiaTheme="minorEastAsia" w:hAnsi="Arial" w:cs="Arial"/>
      <w:color w:val="000000"/>
      <w:sz w:val="22"/>
      <w:szCs w:val="22"/>
      <w:shd w:val="clear" w:color="auto" w:fill="FFFFFF"/>
    </w:rPr>
  </w:style>
  <w:style w:type="paragraph" w:customStyle="1" w:styleId="TITCENTNORIENTRO">
    <w:name w:val="TITCENTNORIENTRO"/>
    <w:next w:val="Normale"/>
    <w:uiPriority w:val="99"/>
    <w:rsid w:val="00F252A3"/>
    <w:pPr>
      <w:widowControl w:val="0"/>
      <w:autoSpaceDE w:val="0"/>
      <w:autoSpaceDN w:val="0"/>
      <w:adjustRightInd w:val="0"/>
      <w:spacing w:before="113" w:line="236" w:lineRule="atLeast"/>
      <w:jc w:val="center"/>
    </w:pPr>
    <w:rPr>
      <w:rFonts w:ascii="Arial" w:eastAsiaTheme="minorEastAsia" w:hAnsi="Arial" w:cs="Arial"/>
      <w:color w:val="000000"/>
      <w:shd w:val="clear" w:color="auto" w:fill="FFFFFF"/>
    </w:rPr>
  </w:style>
  <w:style w:type="paragraph" w:customStyle="1" w:styleId="TESTOVOL1576">
    <w:name w:val="TESTOVOL1576"/>
    <w:next w:val="Normale"/>
    <w:uiPriority w:val="99"/>
    <w:rsid w:val="00F252A3"/>
    <w:pPr>
      <w:widowControl w:val="0"/>
      <w:autoSpaceDE w:val="0"/>
      <w:autoSpaceDN w:val="0"/>
      <w:adjustRightInd w:val="0"/>
      <w:spacing w:line="240" w:lineRule="exact"/>
      <w:ind w:firstLine="567"/>
      <w:jc w:val="both"/>
    </w:pPr>
    <w:rPr>
      <w:rFonts w:ascii="Arial" w:eastAsiaTheme="minorEastAsia" w:hAnsi="Arial" w:cs="Arial"/>
      <w:color w:val="000000"/>
      <w:shd w:val="clear" w:color="auto" w:fill="FFFFFF"/>
    </w:rPr>
  </w:style>
  <w:style w:type="character" w:customStyle="1" w:styleId="Compilazioedocumentiurbanistica">
    <w:name w:val="Compilazioe documenti urbanistica"/>
    <w:uiPriority w:val="99"/>
    <w:rsid w:val="00F252A3"/>
    <w:rPr>
      <w:rFonts w:ascii="Arial Narrow" w:hAnsi="Arial Narrow" w:cs="Arial Narrow"/>
      <w:b/>
      <w:bCs/>
      <w:i/>
      <w:iCs/>
      <w:sz w:val="20"/>
      <w:szCs w:val="20"/>
    </w:rPr>
  </w:style>
  <w:style w:type="character" w:styleId="Testosegnaposto">
    <w:name w:val="Placeholder Text"/>
    <w:basedOn w:val="Carpredefinitoparagrafo"/>
    <w:uiPriority w:val="99"/>
    <w:rsid w:val="00F252A3"/>
    <w:rPr>
      <w:color w:val="808080"/>
    </w:rPr>
  </w:style>
  <w:style w:type="paragraph" w:customStyle="1" w:styleId="sche3">
    <w:name w:val="sche_3"/>
    <w:uiPriority w:val="99"/>
    <w:rsid w:val="00F252A3"/>
    <w:pPr>
      <w:widowControl w:val="0"/>
      <w:autoSpaceDE w:val="0"/>
      <w:autoSpaceDN w:val="0"/>
      <w:adjustRightInd w:val="0"/>
      <w:jc w:val="both"/>
    </w:pPr>
    <w:rPr>
      <w:rFonts w:ascii="Arial" w:eastAsiaTheme="minorEastAsia" w:hAnsi="Arial" w:cs="Arial"/>
      <w:color w:val="000000"/>
      <w:shd w:val="clear" w:color="auto" w:fill="FFFFFF"/>
    </w:rPr>
  </w:style>
  <w:style w:type="paragraph" w:customStyle="1" w:styleId="sche22">
    <w:name w:val="sche2_2"/>
    <w:uiPriority w:val="99"/>
    <w:rsid w:val="00F252A3"/>
    <w:pPr>
      <w:widowControl w:val="0"/>
      <w:autoSpaceDE w:val="0"/>
      <w:autoSpaceDN w:val="0"/>
      <w:adjustRightInd w:val="0"/>
      <w:jc w:val="right"/>
    </w:pPr>
    <w:rPr>
      <w:rFonts w:ascii="Arial" w:eastAsiaTheme="minorEastAsia" w:hAnsi="Arial" w:cs="Arial"/>
      <w:color w:val="000000"/>
      <w:shd w:val="clear" w:color="auto" w:fill="FFFFFF"/>
    </w:rPr>
  </w:style>
  <w:style w:type="paragraph" w:customStyle="1" w:styleId="sche23">
    <w:name w:val="sche2_3"/>
    <w:uiPriority w:val="99"/>
    <w:rsid w:val="00F252A3"/>
    <w:pPr>
      <w:widowControl w:val="0"/>
      <w:autoSpaceDE w:val="0"/>
      <w:autoSpaceDN w:val="0"/>
      <w:adjustRightInd w:val="0"/>
      <w:jc w:val="right"/>
    </w:pPr>
    <w:rPr>
      <w:rFonts w:ascii="Arial" w:eastAsiaTheme="minorEastAsia" w:hAnsi="Arial" w:cs="Arial"/>
      <w:color w:val="000000"/>
      <w:shd w:val="clear" w:color="auto" w:fill="FFFFFF"/>
    </w:rPr>
  </w:style>
  <w:style w:type="paragraph" w:customStyle="1" w:styleId="sche4">
    <w:name w:val="sche_4"/>
    <w:uiPriority w:val="99"/>
    <w:rsid w:val="00F252A3"/>
    <w:pPr>
      <w:widowControl w:val="0"/>
      <w:autoSpaceDE w:val="0"/>
      <w:autoSpaceDN w:val="0"/>
      <w:adjustRightInd w:val="0"/>
      <w:jc w:val="both"/>
    </w:pPr>
    <w:rPr>
      <w:rFonts w:ascii="Arial" w:eastAsiaTheme="minorEastAsia" w:hAnsi="Arial" w:cs="Arial"/>
      <w:color w:val="000000"/>
      <w:shd w:val="clear" w:color="auto" w:fill="FFFFFF"/>
    </w:rPr>
  </w:style>
  <w:style w:type="paragraph" w:customStyle="1" w:styleId="num1">
    <w:name w:val="num_1"/>
    <w:uiPriority w:val="99"/>
    <w:rsid w:val="00F252A3"/>
    <w:pPr>
      <w:widowControl w:val="0"/>
      <w:autoSpaceDE w:val="0"/>
      <w:autoSpaceDN w:val="0"/>
      <w:adjustRightInd w:val="0"/>
      <w:spacing w:before="385"/>
      <w:jc w:val="both"/>
    </w:pPr>
    <w:rPr>
      <w:rFonts w:ascii="Arial" w:eastAsiaTheme="minorEastAsia" w:hAnsi="Arial" w:cs="Arial"/>
      <w:color w:val="000000"/>
      <w:sz w:val="22"/>
      <w:szCs w:val="22"/>
      <w:shd w:val="clear" w:color="auto" w:fill="FFFFFF"/>
    </w:rPr>
  </w:style>
  <w:style w:type="paragraph" w:customStyle="1" w:styleId="num3">
    <w:name w:val="num_3"/>
    <w:uiPriority w:val="99"/>
    <w:rsid w:val="00F252A3"/>
    <w:pPr>
      <w:widowControl w:val="0"/>
      <w:autoSpaceDE w:val="0"/>
      <w:autoSpaceDN w:val="0"/>
      <w:adjustRightInd w:val="0"/>
      <w:spacing w:before="171"/>
      <w:ind w:firstLine="385"/>
      <w:jc w:val="both"/>
    </w:pPr>
    <w:rPr>
      <w:rFonts w:ascii="Arial" w:eastAsiaTheme="minorEastAsia" w:hAnsi="Arial" w:cs="Arial"/>
      <w:color w:val="000000"/>
      <w:sz w:val="22"/>
      <w:szCs w:val="22"/>
      <w:shd w:val="clear" w:color="auto" w:fill="FFFFFF"/>
    </w:rPr>
  </w:style>
  <w:style w:type="paragraph" w:customStyle="1" w:styleId="sche11">
    <w:name w:val="sche1_1"/>
    <w:uiPriority w:val="99"/>
    <w:rsid w:val="00F252A3"/>
    <w:pPr>
      <w:widowControl w:val="0"/>
      <w:autoSpaceDE w:val="0"/>
      <w:autoSpaceDN w:val="0"/>
      <w:adjustRightInd w:val="0"/>
      <w:spacing w:before="385"/>
      <w:jc w:val="center"/>
    </w:pPr>
    <w:rPr>
      <w:rFonts w:ascii="Arial" w:eastAsiaTheme="minorEastAsia" w:hAnsi="Arial" w:cs="Arial"/>
      <w:color w:val="000000"/>
      <w:shd w:val="clear" w:color="auto" w:fill="FFFFFF"/>
    </w:rPr>
  </w:style>
  <w:style w:type="paragraph" w:customStyle="1" w:styleId="sche12">
    <w:name w:val="sche1_2"/>
    <w:uiPriority w:val="99"/>
    <w:rsid w:val="00F252A3"/>
    <w:pPr>
      <w:widowControl w:val="0"/>
      <w:autoSpaceDE w:val="0"/>
      <w:autoSpaceDN w:val="0"/>
      <w:adjustRightInd w:val="0"/>
      <w:jc w:val="center"/>
    </w:pPr>
    <w:rPr>
      <w:rFonts w:ascii="Arial" w:eastAsiaTheme="minorEastAsia" w:hAnsi="Arial" w:cs="Arial"/>
      <w:color w:val="000000"/>
      <w:shd w:val="clear" w:color="auto" w:fill="FFFFFF"/>
    </w:rPr>
  </w:style>
  <w:style w:type="paragraph" w:customStyle="1" w:styleId="sche13">
    <w:name w:val="sche1_3"/>
    <w:uiPriority w:val="99"/>
    <w:rsid w:val="00F252A3"/>
    <w:pPr>
      <w:widowControl w:val="0"/>
      <w:autoSpaceDE w:val="0"/>
      <w:autoSpaceDN w:val="0"/>
      <w:adjustRightInd w:val="0"/>
      <w:jc w:val="center"/>
    </w:pPr>
    <w:rPr>
      <w:rFonts w:ascii="Arial" w:eastAsiaTheme="minorEastAsia" w:hAnsi="Arial" w:cs="Arial"/>
      <w:color w:val="000000"/>
      <w:shd w:val="clear" w:color="auto" w:fill="FFFFFF"/>
    </w:rPr>
  </w:style>
  <w:style w:type="paragraph" w:customStyle="1" w:styleId="sche2">
    <w:name w:val="sche_2"/>
    <w:uiPriority w:val="99"/>
    <w:rsid w:val="00F252A3"/>
    <w:pPr>
      <w:widowControl w:val="0"/>
      <w:autoSpaceDE w:val="0"/>
      <w:autoSpaceDN w:val="0"/>
      <w:adjustRightInd w:val="0"/>
      <w:spacing w:before="256"/>
      <w:jc w:val="both"/>
    </w:pPr>
    <w:rPr>
      <w:rFonts w:ascii="Arial" w:eastAsiaTheme="minorEastAsia" w:hAnsi="Arial" w:cs="Arial"/>
      <w:color w:val="000000"/>
      <w:shd w:val="clear" w:color="auto" w:fill="FFFFFF"/>
    </w:rPr>
  </w:style>
  <w:style w:type="paragraph" w:customStyle="1" w:styleId="sche1">
    <w:name w:val="sche_1"/>
    <w:uiPriority w:val="99"/>
    <w:rsid w:val="00F252A3"/>
    <w:pPr>
      <w:widowControl w:val="0"/>
      <w:autoSpaceDE w:val="0"/>
      <w:autoSpaceDN w:val="0"/>
      <w:adjustRightInd w:val="0"/>
      <w:spacing w:before="256"/>
      <w:jc w:val="center"/>
    </w:pPr>
    <w:rPr>
      <w:rFonts w:ascii="Arial" w:eastAsiaTheme="minorEastAsia" w:hAnsi="Arial" w:cs="Arial"/>
      <w:color w:val="000000"/>
      <w:shd w:val="clear" w:color="auto" w:fill="FFFFFF"/>
    </w:rPr>
  </w:style>
  <w:style w:type="paragraph" w:customStyle="1" w:styleId="sche21">
    <w:name w:val="sche2_1"/>
    <w:uiPriority w:val="99"/>
    <w:rsid w:val="00F252A3"/>
    <w:pPr>
      <w:widowControl w:val="0"/>
      <w:autoSpaceDE w:val="0"/>
      <w:autoSpaceDN w:val="0"/>
      <w:adjustRightInd w:val="0"/>
      <w:spacing w:before="256"/>
      <w:jc w:val="right"/>
    </w:pPr>
    <w:rPr>
      <w:rFonts w:ascii="Arial" w:eastAsiaTheme="minorEastAsia" w:hAnsi="Arial" w:cs="Arial"/>
      <w:color w:val="000000"/>
      <w:shd w:val="clear" w:color="auto" w:fill="FFFFFF"/>
    </w:rPr>
  </w:style>
  <w:style w:type="paragraph" w:customStyle="1" w:styleId="sche24">
    <w:name w:val="sche2_4"/>
    <w:uiPriority w:val="99"/>
    <w:rsid w:val="00F252A3"/>
    <w:pPr>
      <w:widowControl w:val="0"/>
      <w:autoSpaceDE w:val="0"/>
      <w:autoSpaceDN w:val="0"/>
      <w:adjustRightInd w:val="0"/>
      <w:spacing w:before="128"/>
      <w:jc w:val="right"/>
    </w:pPr>
    <w:rPr>
      <w:rFonts w:ascii="Arial" w:eastAsiaTheme="minorEastAsia" w:hAnsi="Arial" w:cs="Arial"/>
      <w:color w:val="000000"/>
      <w:shd w:val="clear" w:color="auto" w:fill="FFFFFF"/>
    </w:rPr>
  </w:style>
  <w:style w:type="paragraph" w:customStyle="1" w:styleId="foot1">
    <w:name w:val="foot_1"/>
    <w:uiPriority w:val="99"/>
    <w:rsid w:val="00F252A3"/>
    <w:pPr>
      <w:widowControl w:val="0"/>
      <w:autoSpaceDE w:val="0"/>
      <w:autoSpaceDN w:val="0"/>
      <w:adjustRightInd w:val="0"/>
      <w:ind w:firstLine="385"/>
      <w:jc w:val="both"/>
    </w:pPr>
    <w:rPr>
      <w:rFonts w:ascii="Arial" w:eastAsiaTheme="minorEastAsia" w:hAnsi="Arial" w:cs="Arial"/>
      <w:color w:val="000000"/>
      <w:sz w:val="18"/>
      <w:szCs w:val="18"/>
      <w:shd w:val="clear" w:color="auto" w:fill="FFFFFF"/>
    </w:rPr>
  </w:style>
  <w:style w:type="paragraph" w:customStyle="1" w:styleId="sche14">
    <w:name w:val="sche1_4"/>
    <w:uiPriority w:val="99"/>
    <w:rsid w:val="00F252A3"/>
    <w:pPr>
      <w:widowControl w:val="0"/>
      <w:autoSpaceDE w:val="0"/>
      <w:autoSpaceDN w:val="0"/>
      <w:adjustRightInd w:val="0"/>
      <w:spacing w:before="256"/>
      <w:jc w:val="center"/>
    </w:pPr>
    <w:rPr>
      <w:rFonts w:ascii="Arial" w:eastAsiaTheme="minorEastAsia" w:hAnsi="Arial" w:cs="Arial"/>
      <w:color w:val="000000"/>
      <w:shd w:val="clear" w:color="auto" w:fill="FFFFFF"/>
    </w:rPr>
  </w:style>
  <w:style w:type="paragraph" w:customStyle="1" w:styleId="sche15">
    <w:name w:val="sche1_5"/>
    <w:uiPriority w:val="99"/>
    <w:rsid w:val="00F252A3"/>
    <w:pPr>
      <w:widowControl w:val="0"/>
      <w:autoSpaceDE w:val="0"/>
      <w:autoSpaceDN w:val="0"/>
      <w:adjustRightInd w:val="0"/>
      <w:spacing w:before="256"/>
      <w:jc w:val="both"/>
    </w:pPr>
    <w:rPr>
      <w:rFonts w:ascii="Arial" w:eastAsiaTheme="minorEastAsia" w:hAnsi="Arial" w:cs="Arial"/>
      <w:color w:val="000000"/>
      <w:shd w:val="clear" w:color="auto" w:fill="FFFFFF"/>
    </w:rPr>
  </w:style>
  <w:style w:type="paragraph" w:customStyle="1" w:styleId="sche16">
    <w:name w:val="sche1_6"/>
    <w:uiPriority w:val="99"/>
    <w:rsid w:val="00F252A3"/>
    <w:pPr>
      <w:widowControl w:val="0"/>
      <w:autoSpaceDE w:val="0"/>
      <w:autoSpaceDN w:val="0"/>
      <w:adjustRightInd w:val="0"/>
      <w:jc w:val="both"/>
    </w:pPr>
    <w:rPr>
      <w:rFonts w:ascii="Helvetica" w:eastAsiaTheme="minorEastAsia" w:hAnsi="Helvetica" w:cs="Helvetica"/>
      <w:color w:val="000000"/>
      <w:shd w:val="clear" w:color="auto" w:fill="FFFFFF"/>
    </w:rPr>
  </w:style>
  <w:style w:type="paragraph" w:customStyle="1" w:styleId="mamma">
    <w:name w:val="mamma"/>
    <w:uiPriority w:val="99"/>
    <w:rsid w:val="00F252A3"/>
    <w:pPr>
      <w:widowControl w:val="0"/>
      <w:autoSpaceDE w:val="0"/>
      <w:autoSpaceDN w:val="0"/>
      <w:adjustRightInd w:val="0"/>
      <w:spacing w:line="480" w:lineRule="auto"/>
    </w:pPr>
    <w:rPr>
      <w:rFonts w:ascii="Arial" w:eastAsiaTheme="minorEastAsia" w:hAnsi="Arial" w:cs="Arial"/>
      <w:color w:val="000000"/>
      <w:spacing w:val="30"/>
      <w:sz w:val="28"/>
      <w:szCs w:val="28"/>
      <w:shd w:val="clear" w:color="auto" w:fill="FFFFFF"/>
    </w:rPr>
  </w:style>
  <w:style w:type="paragraph" w:styleId="Indicedellefigure">
    <w:name w:val="table of figures"/>
    <w:basedOn w:val="Normale"/>
    <w:next w:val="Normale"/>
    <w:uiPriority w:val="99"/>
    <w:rsid w:val="00F252A3"/>
    <w:pPr>
      <w:tabs>
        <w:tab w:val="left" w:pos="929"/>
        <w:tab w:val="left" w:pos="1360"/>
        <w:tab w:val="right" w:leader="dot" w:pos="6286"/>
        <w:tab w:val="left" w:pos="6992"/>
        <w:tab w:val="left" w:pos="7713"/>
      </w:tabs>
      <w:autoSpaceDE w:val="0"/>
      <w:autoSpaceDN w:val="0"/>
      <w:adjustRightInd w:val="0"/>
      <w:ind w:left="929" w:hanging="431"/>
      <w:jc w:val="left"/>
    </w:pPr>
    <w:rPr>
      <w:rFonts w:eastAsiaTheme="minorEastAsia" w:cs="Arial"/>
      <w:color w:val="000000"/>
      <w:sz w:val="24"/>
      <w:szCs w:val="24"/>
      <w:shd w:val="clear" w:color="auto" w:fill="FFFFFF"/>
    </w:rPr>
  </w:style>
  <w:style w:type="paragraph" w:styleId="Indicefonti">
    <w:name w:val="table of authorities"/>
    <w:basedOn w:val="Normale"/>
    <w:next w:val="Normale"/>
    <w:uiPriority w:val="99"/>
    <w:rsid w:val="00F252A3"/>
    <w:pPr>
      <w:tabs>
        <w:tab w:val="right" w:leader="dot" w:pos="6286"/>
        <w:tab w:val="left" w:pos="6992"/>
        <w:tab w:val="left" w:pos="7713"/>
      </w:tabs>
      <w:autoSpaceDE w:val="0"/>
      <w:autoSpaceDN w:val="0"/>
      <w:adjustRightInd w:val="0"/>
      <w:ind w:left="1144" w:hanging="216"/>
      <w:jc w:val="left"/>
    </w:pPr>
    <w:rPr>
      <w:rFonts w:eastAsiaTheme="minorEastAsia" w:cs="Arial"/>
      <w:color w:val="000000"/>
      <w:sz w:val="24"/>
      <w:szCs w:val="24"/>
      <w:shd w:val="clear" w:color="auto" w:fill="FFFFFF"/>
    </w:rPr>
  </w:style>
  <w:style w:type="paragraph" w:customStyle="1" w:styleId="Intestazionedispari">
    <w:name w:val="Intestazione dispari"/>
    <w:uiPriority w:val="99"/>
    <w:rsid w:val="00F252A3"/>
    <w:pPr>
      <w:widowControl w:val="0"/>
      <w:autoSpaceDE w:val="0"/>
      <w:autoSpaceDN w:val="0"/>
      <w:adjustRightInd w:val="0"/>
      <w:spacing w:line="260" w:lineRule="atLeast"/>
    </w:pPr>
    <w:rPr>
      <w:rFonts w:ascii="Arial" w:eastAsiaTheme="minorEastAsia" w:hAnsi="Arial" w:cs="Arial"/>
      <w:color w:val="000000"/>
      <w:sz w:val="24"/>
      <w:szCs w:val="24"/>
      <w:shd w:val="clear" w:color="auto" w:fill="FFFFFF"/>
    </w:rPr>
  </w:style>
  <w:style w:type="paragraph" w:customStyle="1" w:styleId="Intestazionepari">
    <w:name w:val="Intestazione pari"/>
    <w:uiPriority w:val="99"/>
    <w:rsid w:val="00F252A3"/>
    <w:pPr>
      <w:widowControl w:val="0"/>
      <w:autoSpaceDE w:val="0"/>
      <w:autoSpaceDN w:val="0"/>
      <w:adjustRightInd w:val="0"/>
      <w:jc w:val="right"/>
    </w:pPr>
    <w:rPr>
      <w:rFonts w:ascii="Arial" w:eastAsiaTheme="minorEastAsia" w:hAnsi="Arial" w:cs="Arial"/>
      <w:color w:val="000000"/>
      <w:sz w:val="24"/>
      <w:szCs w:val="24"/>
      <w:shd w:val="clear" w:color="auto" w:fill="FFFFFF"/>
    </w:rPr>
  </w:style>
  <w:style w:type="paragraph" w:customStyle="1" w:styleId="numero">
    <w:name w:val="numero"/>
    <w:uiPriority w:val="99"/>
    <w:rsid w:val="00F252A3"/>
    <w:pPr>
      <w:widowControl w:val="0"/>
      <w:autoSpaceDE w:val="0"/>
      <w:autoSpaceDN w:val="0"/>
      <w:adjustRightInd w:val="0"/>
    </w:pPr>
    <w:rPr>
      <w:rFonts w:ascii="Arial" w:eastAsiaTheme="minorEastAsia" w:hAnsi="Arial" w:cs="Arial"/>
      <w:color w:val="000000"/>
      <w:sz w:val="24"/>
      <w:szCs w:val="24"/>
      <w:shd w:val="clear" w:color="auto" w:fill="FFFFFF"/>
    </w:rPr>
  </w:style>
  <w:style w:type="paragraph" w:styleId="Numeroelenco">
    <w:name w:val="List Number"/>
    <w:basedOn w:val="Normale"/>
    <w:uiPriority w:val="99"/>
    <w:rsid w:val="00F252A3"/>
    <w:pPr>
      <w:tabs>
        <w:tab w:val="left" w:pos="50"/>
        <w:tab w:val="left" w:pos="655"/>
        <w:tab w:val="left" w:pos="755"/>
        <w:tab w:val="left" w:pos="1088"/>
        <w:tab w:val="left" w:pos="1360"/>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1088" w:hanging="272"/>
      <w:jc w:val="left"/>
    </w:pPr>
    <w:rPr>
      <w:rFonts w:eastAsiaTheme="minorEastAsia" w:cs="Arial"/>
      <w:color w:val="000000"/>
      <w:sz w:val="24"/>
      <w:szCs w:val="24"/>
      <w:shd w:val="clear" w:color="auto" w:fill="FFFFFF"/>
    </w:rPr>
  </w:style>
  <w:style w:type="paragraph" w:styleId="Numeroelenco2">
    <w:name w:val="List Number 2"/>
    <w:basedOn w:val="Normale"/>
    <w:uiPriority w:val="99"/>
    <w:rsid w:val="00F252A3"/>
    <w:pPr>
      <w:tabs>
        <w:tab w:val="left" w:pos="50"/>
        <w:tab w:val="left" w:pos="655"/>
        <w:tab w:val="left" w:pos="755"/>
        <w:tab w:val="left" w:pos="799"/>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799" w:hanging="289"/>
      <w:jc w:val="left"/>
    </w:pPr>
    <w:rPr>
      <w:rFonts w:eastAsiaTheme="minorEastAsia" w:cs="Arial"/>
      <w:color w:val="000000"/>
      <w:sz w:val="24"/>
      <w:szCs w:val="24"/>
      <w:shd w:val="clear" w:color="auto" w:fill="FFFFFF"/>
    </w:rPr>
  </w:style>
  <w:style w:type="paragraph" w:styleId="Numeroelenco3">
    <w:name w:val="List Number 3"/>
    <w:basedOn w:val="Normale"/>
    <w:uiPriority w:val="99"/>
    <w:rsid w:val="00F252A3"/>
    <w:pPr>
      <w:tabs>
        <w:tab w:val="left" w:pos="50"/>
        <w:tab w:val="left" w:pos="526"/>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526" w:hanging="273"/>
      <w:jc w:val="left"/>
    </w:pPr>
    <w:rPr>
      <w:rFonts w:eastAsiaTheme="minorEastAsia" w:cs="Arial"/>
      <w:color w:val="000000"/>
      <w:sz w:val="24"/>
      <w:szCs w:val="24"/>
      <w:shd w:val="clear" w:color="auto" w:fill="FFFFFF"/>
    </w:rPr>
  </w:style>
  <w:style w:type="paragraph" w:styleId="Numeroelenco4">
    <w:name w:val="List Number 4"/>
    <w:basedOn w:val="Normale"/>
    <w:uiPriority w:val="99"/>
    <w:rsid w:val="00F252A3"/>
    <w:pPr>
      <w:tabs>
        <w:tab w:val="left" w:pos="50"/>
        <w:tab w:val="left" w:pos="237"/>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237" w:hanging="289"/>
      <w:jc w:val="left"/>
    </w:pPr>
    <w:rPr>
      <w:rFonts w:eastAsiaTheme="minorEastAsia" w:cs="Arial"/>
      <w:color w:val="000000"/>
      <w:sz w:val="24"/>
      <w:szCs w:val="24"/>
      <w:shd w:val="clear" w:color="auto" w:fill="FFFFFF"/>
    </w:rPr>
  </w:style>
  <w:style w:type="paragraph" w:styleId="Numeroelenco5">
    <w:name w:val="List Number 5"/>
    <w:basedOn w:val="Normale"/>
    <w:uiPriority w:val="99"/>
    <w:rsid w:val="00F252A3"/>
    <w:pPr>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50" w:hanging="287"/>
      <w:jc w:val="left"/>
    </w:pPr>
    <w:rPr>
      <w:rFonts w:eastAsiaTheme="minorEastAsia" w:cs="Arial"/>
      <w:color w:val="000000"/>
      <w:sz w:val="24"/>
      <w:szCs w:val="24"/>
      <w:shd w:val="clear" w:color="auto" w:fill="FFFFFF"/>
    </w:rPr>
  </w:style>
  <w:style w:type="paragraph" w:styleId="Puntoelenco2">
    <w:name w:val="List Bullet 2"/>
    <w:basedOn w:val="Normale"/>
    <w:uiPriority w:val="99"/>
    <w:rsid w:val="00F252A3"/>
    <w:pPr>
      <w:tabs>
        <w:tab w:val="left" w:pos="50"/>
        <w:tab w:val="left" w:pos="655"/>
        <w:tab w:val="left" w:pos="755"/>
        <w:tab w:val="left" w:pos="799"/>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799" w:hanging="289"/>
      <w:jc w:val="left"/>
    </w:pPr>
    <w:rPr>
      <w:rFonts w:eastAsiaTheme="minorEastAsia" w:cs="Arial"/>
      <w:color w:val="000000"/>
      <w:sz w:val="24"/>
      <w:szCs w:val="24"/>
      <w:shd w:val="clear" w:color="auto" w:fill="FFFFFF"/>
    </w:rPr>
  </w:style>
  <w:style w:type="paragraph" w:styleId="Puntoelenco3">
    <w:name w:val="List Bullet 3"/>
    <w:basedOn w:val="Normale"/>
    <w:uiPriority w:val="99"/>
    <w:rsid w:val="00F252A3"/>
    <w:pPr>
      <w:tabs>
        <w:tab w:val="left" w:pos="50"/>
        <w:tab w:val="left" w:pos="526"/>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526" w:hanging="273"/>
      <w:jc w:val="left"/>
    </w:pPr>
    <w:rPr>
      <w:rFonts w:eastAsiaTheme="minorEastAsia" w:cs="Arial"/>
      <w:color w:val="000000"/>
      <w:sz w:val="24"/>
      <w:szCs w:val="24"/>
      <w:shd w:val="clear" w:color="auto" w:fill="FFFFFF"/>
    </w:rPr>
  </w:style>
  <w:style w:type="paragraph" w:styleId="Puntoelenco4">
    <w:name w:val="List Bullet 4"/>
    <w:basedOn w:val="Normale"/>
    <w:uiPriority w:val="99"/>
    <w:rsid w:val="00F252A3"/>
    <w:pPr>
      <w:tabs>
        <w:tab w:val="left" w:pos="50"/>
        <w:tab w:val="left" w:pos="237"/>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237" w:hanging="289"/>
      <w:jc w:val="left"/>
    </w:pPr>
    <w:rPr>
      <w:rFonts w:eastAsiaTheme="minorEastAsia" w:cs="Arial"/>
      <w:color w:val="000000"/>
      <w:sz w:val="24"/>
      <w:szCs w:val="24"/>
      <w:shd w:val="clear" w:color="auto" w:fill="FFFFFF"/>
    </w:rPr>
  </w:style>
  <w:style w:type="paragraph" w:styleId="Puntoelenco5">
    <w:name w:val="List Bullet 5"/>
    <w:basedOn w:val="Normale"/>
    <w:uiPriority w:val="99"/>
    <w:rsid w:val="00F252A3"/>
    <w:pPr>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50" w:hanging="287"/>
      <w:jc w:val="left"/>
    </w:pPr>
    <w:rPr>
      <w:rFonts w:eastAsiaTheme="minorEastAsia" w:cs="Arial"/>
      <w:color w:val="000000"/>
      <w:sz w:val="24"/>
      <w:szCs w:val="24"/>
      <w:shd w:val="clear" w:color="auto" w:fill="FFFFFF"/>
    </w:rPr>
  </w:style>
  <w:style w:type="paragraph" w:customStyle="1" w:styleId="separatore">
    <w:name w:val="separatore"/>
    <w:uiPriority w:val="99"/>
    <w:rsid w:val="00F252A3"/>
    <w:pPr>
      <w:widowControl w:val="0"/>
      <w:autoSpaceDE w:val="0"/>
      <w:autoSpaceDN w:val="0"/>
      <w:adjustRightInd w:val="0"/>
      <w:spacing w:line="260" w:lineRule="atLeast"/>
      <w:jc w:val="both"/>
    </w:pPr>
    <w:rPr>
      <w:rFonts w:ascii="Arial" w:eastAsiaTheme="minorEastAsia" w:hAnsi="Arial" w:cs="Arial"/>
      <w:color w:val="000000"/>
      <w:sz w:val="24"/>
      <w:szCs w:val="24"/>
      <w:shd w:val="clear" w:color="auto" w:fill="FFFFFF"/>
    </w:rPr>
  </w:style>
  <w:style w:type="paragraph" w:customStyle="1" w:styleId="separatore2">
    <w:name w:val="separatore2"/>
    <w:uiPriority w:val="99"/>
    <w:rsid w:val="00F252A3"/>
    <w:pPr>
      <w:widowControl w:val="0"/>
      <w:autoSpaceDE w:val="0"/>
      <w:autoSpaceDN w:val="0"/>
      <w:adjustRightInd w:val="0"/>
      <w:spacing w:line="260" w:lineRule="atLeast"/>
      <w:jc w:val="center"/>
    </w:pPr>
    <w:rPr>
      <w:rFonts w:ascii="Arial" w:eastAsiaTheme="minorEastAsia" w:hAnsi="Arial" w:cs="Arial"/>
      <w:color w:val="000000"/>
      <w:sz w:val="24"/>
      <w:szCs w:val="24"/>
      <w:shd w:val="clear" w:color="auto" w:fill="FFFFFF"/>
    </w:rPr>
  </w:style>
  <w:style w:type="paragraph" w:styleId="Sottotitolo">
    <w:name w:val="Subtitle"/>
    <w:basedOn w:val="Normale"/>
    <w:link w:val="SottotitoloCarattere"/>
    <w:qFormat/>
    <w:rsid w:val="00F252A3"/>
    <w:pPr>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jc w:val="center"/>
    </w:pPr>
    <w:rPr>
      <w:rFonts w:eastAsiaTheme="minorEastAsia" w:cs="Arial"/>
      <w:color w:val="000000"/>
      <w:sz w:val="24"/>
      <w:szCs w:val="24"/>
      <w:shd w:val="clear" w:color="auto" w:fill="FFFFFF"/>
    </w:rPr>
  </w:style>
  <w:style w:type="character" w:customStyle="1" w:styleId="SottotitoloCarattere">
    <w:name w:val="Sottotitolo Carattere"/>
    <w:basedOn w:val="Carpredefinitoparagrafo"/>
    <w:link w:val="Sottotitolo"/>
    <w:rsid w:val="00F252A3"/>
    <w:rPr>
      <w:rFonts w:ascii="Arial" w:eastAsiaTheme="minorEastAsia" w:hAnsi="Arial" w:cs="Arial"/>
      <w:color w:val="000000"/>
      <w:sz w:val="24"/>
      <w:szCs w:val="24"/>
    </w:rPr>
  </w:style>
  <w:style w:type="paragraph" w:styleId="Testomacro">
    <w:name w:val="macro"/>
    <w:link w:val="TestomacroCarattere"/>
    <w:uiPriority w:val="99"/>
    <w:rsid w:val="00F252A3"/>
    <w:pPr>
      <w:widowControl w:val="0"/>
      <w:tabs>
        <w:tab w:val="left" w:pos="50"/>
        <w:tab w:val="left" w:pos="237"/>
        <w:tab w:val="left" w:pos="339"/>
        <w:tab w:val="left" w:pos="512"/>
        <w:tab w:val="left" w:pos="612"/>
        <w:tab w:val="left" w:pos="799"/>
        <w:tab w:val="left" w:pos="900"/>
        <w:tab w:val="left" w:pos="1088"/>
        <w:tab w:val="left" w:pos="1188"/>
        <w:tab w:val="left" w:pos="1360"/>
        <w:tab w:val="left" w:pos="1462"/>
        <w:tab w:val="left" w:pos="1750"/>
        <w:tab w:val="left" w:pos="2038"/>
        <w:tab w:val="left" w:pos="2744"/>
        <w:tab w:val="left" w:pos="3449"/>
        <w:tab w:val="left" w:pos="4154"/>
        <w:tab w:val="left" w:pos="4875"/>
        <w:tab w:val="left" w:pos="5580"/>
        <w:tab w:val="left" w:pos="6286"/>
        <w:tab w:val="left" w:pos="6992"/>
      </w:tabs>
      <w:autoSpaceDE w:val="0"/>
      <w:autoSpaceDN w:val="0"/>
      <w:adjustRightInd w:val="0"/>
      <w:ind w:left="1360" w:firstLine="272"/>
    </w:pPr>
    <w:rPr>
      <w:rFonts w:ascii="Arial" w:eastAsiaTheme="minorEastAsia" w:hAnsi="Arial" w:cs="Arial"/>
      <w:color w:val="000000"/>
      <w:sz w:val="24"/>
      <w:szCs w:val="24"/>
      <w:shd w:val="clear" w:color="auto" w:fill="FFFFFF"/>
    </w:rPr>
  </w:style>
  <w:style w:type="character" w:customStyle="1" w:styleId="TestomacroCarattere">
    <w:name w:val="Testo macro Carattere"/>
    <w:basedOn w:val="Carpredefinitoparagrafo"/>
    <w:link w:val="Testomacro"/>
    <w:uiPriority w:val="99"/>
    <w:rsid w:val="00F252A3"/>
    <w:rPr>
      <w:rFonts w:ascii="Arial" w:eastAsiaTheme="minorEastAsia" w:hAnsi="Arial" w:cs="Arial"/>
      <w:color w:val="000000"/>
      <w:sz w:val="24"/>
      <w:szCs w:val="24"/>
    </w:rPr>
  </w:style>
  <w:style w:type="paragraph" w:styleId="Titoloindicefonti">
    <w:name w:val="toa heading"/>
    <w:basedOn w:val="Normale"/>
    <w:next w:val="Normale"/>
    <w:uiPriority w:val="99"/>
    <w:rsid w:val="00F252A3"/>
    <w:pPr>
      <w:tabs>
        <w:tab w:val="left" w:pos="50"/>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jc w:val="left"/>
    </w:pPr>
    <w:rPr>
      <w:rFonts w:eastAsiaTheme="minorEastAsia" w:cs="Arial"/>
      <w:color w:val="000000"/>
      <w:sz w:val="24"/>
      <w:szCs w:val="24"/>
      <w:shd w:val="clear" w:color="auto" w:fill="FFFFFF"/>
    </w:rPr>
  </w:style>
  <w:style w:type="paragraph" w:styleId="Intestazionemessaggio">
    <w:name w:val="Message Header"/>
    <w:basedOn w:val="Normale"/>
    <w:link w:val="IntestazionemessaggioCarattere"/>
    <w:uiPriority w:val="99"/>
    <w:rsid w:val="00F252A3"/>
    <w:pPr>
      <w:tabs>
        <w:tab w:val="left" w:pos="50"/>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237" w:hanging="1123"/>
      <w:jc w:val="left"/>
    </w:pPr>
    <w:rPr>
      <w:rFonts w:eastAsiaTheme="minorEastAsia" w:cs="Arial"/>
      <w:color w:val="000000"/>
      <w:sz w:val="24"/>
      <w:szCs w:val="24"/>
      <w:shd w:val="clear" w:color="auto" w:fill="FFFFFF"/>
    </w:rPr>
  </w:style>
  <w:style w:type="character" w:customStyle="1" w:styleId="IntestazionemessaggioCarattere">
    <w:name w:val="Intestazione messaggio Carattere"/>
    <w:basedOn w:val="Carpredefinitoparagrafo"/>
    <w:link w:val="Intestazionemessaggio"/>
    <w:uiPriority w:val="99"/>
    <w:rsid w:val="00F252A3"/>
    <w:rPr>
      <w:rFonts w:ascii="Arial" w:eastAsiaTheme="minorEastAsia" w:hAnsi="Arial" w:cs="Arial"/>
      <w:color w:val="000000"/>
      <w:sz w:val="24"/>
      <w:szCs w:val="24"/>
    </w:rPr>
  </w:style>
  <w:style w:type="paragraph" w:customStyle="1" w:styleId="wBandaPunt">
    <w:name w:val="wBanda Punt"/>
    <w:uiPriority w:val="99"/>
    <w:rsid w:val="00F252A3"/>
    <w:pPr>
      <w:widowControl w:val="0"/>
      <w:tabs>
        <w:tab w:val="left" w:pos="50"/>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568" w:hanging="404"/>
      <w:jc w:val="both"/>
    </w:pPr>
    <w:rPr>
      <w:rFonts w:ascii="Arial" w:eastAsiaTheme="minorEastAsia" w:hAnsi="Arial" w:cs="Arial"/>
      <w:color w:val="000000"/>
      <w:sz w:val="24"/>
      <w:szCs w:val="24"/>
      <w:shd w:val="clear" w:color="auto" w:fill="FFFFFF"/>
    </w:rPr>
  </w:style>
  <w:style w:type="paragraph" w:customStyle="1" w:styleId="wBandaSpL1">
    <w:name w:val="wBanda SpL1"/>
    <w:uiPriority w:val="99"/>
    <w:rsid w:val="00F252A3"/>
    <w:pPr>
      <w:widowControl w:val="0"/>
      <w:tabs>
        <w:tab w:val="left" w:pos="266"/>
        <w:tab w:val="left" w:pos="455"/>
        <w:tab w:val="left" w:pos="1159"/>
        <w:tab w:val="left" w:pos="1865"/>
        <w:tab w:val="left" w:pos="2571"/>
        <w:tab w:val="left" w:pos="3276"/>
        <w:tab w:val="left" w:pos="3996"/>
        <w:tab w:val="left" w:pos="4703"/>
        <w:tab w:val="left" w:pos="5408"/>
        <w:tab w:val="left" w:pos="6113"/>
        <w:tab w:val="left" w:pos="6833"/>
        <w:tab w:val="left" w:pos="7540"/>
        <w:tab w:val="left" w:pos="8245"/>
      </w:tabs>
      <w:autoSpaceDE w:val="0"/>
      <w:autoSpaceDN w:val="0"/>
      <w:adjustRightInd w:val="0"/>
      <w:ind w:left="568" w:hanging="404"/>
      <w:jc w:val="both"/>
    </w:pPr>
    <w:rPr>
      <w:rFonts w:ascii="Arial" w:eastAsiaTheme="minorEastAsia" w:hAnsi="Arial" w:cs="Arial"/>
      <w:color w:val="000000"/>
      <w:sz w:val="24"/>
      <w:szCs w:val="24"/>
      <w:shd w:val="clear" w:color="auto" w:fill="FFFFFF"/>
    </w:rPr>
  </w:style>
  <w:style w:type="paragraph" w:customStyle="1" w:styleId="wBandaTitCntr">
    <w:name w:val="wBandaTit Cntr"/>
    <w:uiPriority w:val="99"/>
    <w:rsid w:val="00F252A3"/>
    <w:pPr>
      <w:widowControl w:val="0"/>
      <w:tabs>
        <w:tab w:val="left" w:pos="50"/>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972"/>
      <w:jc w:val="center"/>
    </w:pPr>
    <w:rPr>
      <w:rFonts w:ascii="Arial" w:eastAsiaTheme="minorEastAsia" w:hAnsi="Arial" w:cs="Arial"/>
      <w:color w:val="000000"/>
      <w:sz w:val="24"/>
      <w:szCs w:val="24"/>
      <w:shd w:val="clear" w:color="auto" w:fill="FFFFFF"/>
    </w:rPr>
  </w:style>
  <w:style w:type="paragraph" w:customStyle="1" w:styleId="wBandaTitCors">
    <w:name w:val="wBandaTit Cors"/>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972"/>
    </w:pPr>
    <w:rPr>
      <w:rFonts w:ascii="Arial" w:eastAsiaTheme="minorEastAsia" w:hAnsi="Arial" w:cs="Arial"/>
      <w:color w:val="000000"/>
      <w:sz w:val="24"/>
      <w:szCs w:val="24"/>
      <w:shd w:val="clear" w:color="auto" w:fill="FFFFFF"/>
    </w:rPr>
  </w:style>
  <w:style w:type="paragraph" w:customStyle="1" w:styleId="wBandaTitNero">
    <w:name w:val="wBandaTit Nero"/>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972"/>
    </w:pPr>
    <w:rPr>
      <w:rFonts w:ascii="Arial" w:eastAsiaTheme="minorEastAsia" w:hAnsi="Arial" w:cs="Arial"/>
      <w:color w:val="000000"/>
      <w:sz w:val="24"/>
      <w:szCs w:val="24"/>
      <w:shd w:val="clear" w:color="auto" w:fill="FFFFFF"/>
    </w:rPr>
  </w:style>
  <w:style w:type="paragraph" w:customStyle="1" w:styleId="wBandaTxt">
    <w:name w:val="wBandaTxt"/>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972"/>
      <w:jc w:val="both"/>
    </w:pPr>
    <w:rPr>
      <w:rFonts w:ascii="Arial" w:eastAsiaTheme="minorEastAsia" w:hAnsi="Arial" w:cs="Arial"/>
      <w:color w:val="000000"/>
      <w:sz w:val="24"/>
      <w:szCs w:val="24"/>
      <w:shd w:val="clear" w:color="auto" w:fill="FFFFFF"/>
    </w:rPr>
  </w:style>
  <w:style w:type="paragraph" w:customStyle="1" w:styleId="wBibliografia">
    <w:name w:val="wBibliografia"/>
    <w:uiPriority w:val="99"/>
    <w:rsid w:val="00F252A3"/>
    <w:pPr>
      <w:widowControl w:val="0"/>
      <w:tabs>
        <w:tab w:val="left" w:pos="50"/>
        <w:tab w:val="left" w:pos="655"/>
        <w:tab w:val="left" w:pos="755"/>
        <w:tab w:val="left" w:pos="1360"/>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972" w:hanging="388"/>
    </w:pPr>
    <w:rPr>
      <w:rFonts w:ascii="Arial" w:eastAsiaTheme="minorEastAsia" w:hAnsi="Arial" w:cs="Arial"/>
      <w:color w:val="000000"/>
      <w:sz w:val="24"/>
      <w:szCs w:val="24"/>
      <w:shd w:val="clear" w:color="auto" w:fill="FFFFFF"/>
    </w:rPr>
  </w:style>
  <w:style w:type="paragraph" w:customStyle="1" w:styleId="wCasiRisolti">
    <w:name w:val="wCasi Risolti"/>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jc w:val="center"/>
    </w:pPr>
    <w:rPr>
      <w:rFonts w:ascii="Arial" w:eastAsiaTheme="minorEastAsia" w:hAnsi="Arial" w:cs="Arial"/>
      <w:color w:val="000000"/>
      <w:sz w:val="24"/>
      <w:szCs w:val="24"/>
      <w:shd w:val="clear" w:color="auto" w:fill="FFFFFF"/>
    </w:rPr>
  </w:style>
  <w:style w:type="paragraph" w:customStyle="1" w:styleId="wCitaNorma">
    <w:name w:val="wCitaNorma"/>
    <w:uiPriority w:val="99"/>
    <w:rsid w:val="00F252A3"/>
    <w:pPr>
      <w:widowControl w:val="0"/>
      <w:tabs>
        <w:tab w:val="left" w:pos="964"/>
      </w:tabs>
      <w:autoSpaceDE w:val="0"/>
      <w:autoSpaceDN w:val="0"/>
      <w:adjustRightInd w:val="0"/>
      <w:ind w:left="1360" w:firstLine="396"/>
      <w:jc w:val="both"/>
    </w:pPr>
    <w:rPr>
      <w:rFonts w:ascii="Arial" w:eastAsiaTheme="minorEastAsia" w:hAnsi="Arial" w:cs="Arial"/>
      <w:color w:val="000000"/>
      <w:sz w:val="24"/>
      <w:szCs w:val="24"/>
      <w:shd w:val="clear" w:color="auto" w:fill="FFFFFF"/>
    </w:rPr>
  </w:style>
  <w:style w:type="paragraph" w:customStyle="1" w:styleId="wColophon">
    <w:name w:val="wColophon"/>
    <w:uiPriority w:val="99"/>
    <w:rsid w:val="00F252A3"/>
    <w:pPr>
      <w:widowControl w:val="0"/>
      <w:autoSpaceDE w:val="0"/>
      <w:autoSpaceDN w:val="0"/>
      <w:adjustRightInd w:val="0"/>
      <w:jc w:val="both"/>
    </w:pPr>
    <w:rPr>
      <w:rFonts w:ascii="Arial" w:eastAsiaTheme="minorEastAsia" w:hAnsi="Arial" w:cs="Arial"/>
      <w:color w:val="000000"/>
      <w:sz w:val="24"/>
      <w:szCs w:val="24"/>
      <w:shd w:val="clear" w:color="auto" w:fill="FFFFFF"/>
    </w:rPr>
  </w:style>
  <w:style w:type="paragraph" w:customStyle="1" w:styleId="wColophonFine">
    <w:name w:val="wColophon Fine"/>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jc w:val="center"/>
    </w:pPr>
    <w:rPr>
      <w:rFonts w:ascii="Arial" w:eastAsiaTheme="minorEastAsia" w:hAnsi="Arial" w:cs="Arial"/>
      <w:color w:val="000000"/>
      <w:sz w:val="24"/>
      <w:szCs w:val="24"/>
      <w:shd w:val="clear" w:color="auto" w:fill="FFFFFF"/>
    </w:rPr>
  </w:style>
  <w:style w:type="paragraph" w:customStyle="1" w:styleId="wColophonGiu">
    <w:name w:val="wColophon Giu"/>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pPr>
    <w:rPr>
      <w:rFonts w:ascii="Arial" w:eastAsiaTheme="minorEastAsia" w:hAnsi="Arial" w:cs="Arial"/>
      <w:color w:val="000000"/>
      <w:sz w:val="24"/>
      <w:szCs w:val="24"/>
      <w:shd w:val="clear" w:color="auto" w:fill="FFFFFF"/>
    </w:rPr>
  </w:style>
  <w:style w:type="paragraph" w:customStyle="1" w:styleId="wColophonISBN">
    <w:name w:val="wColophon ISBN"/>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pPr>
    <w:rPr>
      <w:rFonts w:ascii="Arial" w:eastAsiaTheme="minorEastAsia" w:hAnsi="Arial" w:cs="Arial"/>
      <w:color w:val="000000"/>
      <w:sz w:val="24"/>
      <w:szCs w:val="24"/>
      <w:shd w:val="clear" w:color="auto" w:fill="FFFFFF"/>
    </w:rPr>
  </w:style>
  <w:style w:type="paragraph" w:customStyle="1" w:styleId="wColophonSu">
    <w:name w:val="wColophon Su"/>
    <w:uiPriority w:val="99"/>
    <w:rsid w:val="00F252A3"/>
    <w:pPr>
      <w:widowControl w:val="0"/>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pPr>
    <w:rPr>
      <w:rFonts w:ascii="Arial" w:eastAsiaTheme="minorEastAsia" w:hAnsi="Arial" w:cs="Arial"/>
      <w:color w:val="000000"/>
      <w:sz w:val="24"/>
      <w:szCs w:val="24"/>
      <w:shd w:val="clear" w:color="auto" w:fill="FFFFFF"/>
    </w:rPr>
  </w:style>
  <w:style w:type="paragraph" w:customStyle="1" w:styleId="wDomande">
    <w:name w:val="wDomande"/>
    <w:uiPriority w:val="99"/>
    <w:rsid w:val="00F252A3"/>
    <w:pPr>
      <w:widowControl w:val="0"/>
      <w:tabs>
        <w:tab w:val="left" w:pos="50"/>
        <w:tab w:val="left" w:pos="655"/>
        <w:tab w:val="left" w:pos="755"/>
        <w:tab w:val="left" w:pos="799"/>
        <w:tab w:val="left" w:pos="1360"/>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799" w:hanging="561"/>
    </w:pPr>
    <w:rPr>
      <w:rFonts w:ascii="Arial" w:eastAsiaTheme="minorEastAsia" w:hAnsi="Arial" w:cs="Arial"/>
      <w:color w:val="000000"/>
      <w:sz w:val="24"/>
      <w:szCs w:val="24"/>
      <w:shd w:val="clear" w:color="auto" w:fill="FFFFFF"/>
    </w:rPr>
  </w:style>
  <w:style w:type="paragraph" w:customStyle="1" w:styleId="wElencoFrecL1">
    <w:name w:val="wElencoFrec L1"/>
    <w:uiPriority w:val="99"/>
    <w:rsid w:val="00F252A3"/>
    <w:pPr>
      <w:widowControl w:val="0"/>
      <w:tabs>
        <w:tab w:val="left" w:pos="567"/>
      </w:tabs>
      <w:autoSpaceDE w:val="0"/>
      <w:autoSpaceDN w:val="0"/>
      <w:adjustRightInd w:val="0"/>
      <w:spacing w:line="260" w:lineRule="atLeast"/>
      <w:ind w:left="567" w:hanging="397"/>
      <w:jc w:val="both"/>
    </w:pPr>
    <w:rPr>
      <w:rFonts w:ascii="Arial" w:eastAsiaTheme="minorEastAsia" w:hAnsi="Arial" w:cs="Arial"/>
      <w:color w:val="000000"/>
      <w:sz w:val="24"/>
      <w:szCs w:val="24"/>
      <w:shd w:val="clear" w:color="auto" w:fill="FFFFFF"/>
    </w:rPr>
  </w:style>
  <w:style w:type="paragraph" w:customStyle="1" w:styleId="wElencoFrecL2">
    <w:name w:val="wElencoFrec L2"/>
    <w:uiPriority w:val="99"/>
    <w:rsid w:val="00F252A3"/>
    <w:pPr>
      <w:widowControl w:val="0"/>
      <w:autoSpaceDE w:val="0"/>
      <w:autoSpaceDN w:val="0"/>
      <w:adjustRightInd w:val="0"/>
      <w:spacing w:line="260" w:lineRule="atLeast"/>
      <w:ind w:left="567"/>
      <w:jc w:val="both"/>
    </w:pPr>
    <w:rPr>
      <w:rFonts w:ascii="Arial" w:eastAsiaTheme="minorEastAsia" w:hAnsi="Arial" w:cs="Arial"/>
      <w:color w:val="000000"/>
      <w:sz w:val="24"/>
      <w:szCs w:val="24"/>
      <w:shd w:val="clear" w:color="auto" w:fill="FFFFFF"/>
    </w:rPr>
  </w:style>
  <w:style w:type="paragraph" w:customStyle="1" w:styleId="wElencoLettL1">
    <w:name w:val="wElencoLett L1"/>
    <w:uiPriority w:val="99"/>
    <w:rsid w:val="00F252A3"/>
    <w:pPr>
      <w:widowControl w:val="0"/>
      <w:tabs>
        <w:tab w:val="left" w:pos="964"/>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ElencoLettL1Loc">
    <w:name w:val="wElencoLett L1_Loc"/>
    <w:uiPriority w:val="99"/>
    <w:rsid w:val="00F252A3"/>
    <w:pPr>
      <w:widowControl w:val="0"/>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ElencoLettL2">
    <w:name w:val="wElencoLett L2"/>
    <w:uiPriority w:val="99"/>
    <w:rsid w:val="00F252A3"/>
    <w:pPr>
      <w:widowControl w:val="0"/>
      <w:tabs>
        <w:tab w:val="left" w:pos="283"/>
        <w:tab w:val="left" w:pos="567"/>
      </w:tabs>
      <w:autoSpaceDE w:val="0"/>
      <w:autoSpaceDN w:val="0"/>
      <w:adjustRightInd w:val="0"/>
      <w:spacing w:line="260" w:lineRule="atLeast"/>
      <w:ind w:left="283" w:hanging="284"/>
      <w:jc w:val="both"/>
    </w:pPr>
    <w:rPr>
      <w:rFonts w:ascii="Arial" w:eastAsiaTheme="minorEastAsia" w:hAnsi="Arial" w:cs="Arial"/>
      <w:color w:val="000000"/>
      <w:sz w:val="24"/>
      <w:szCs w:val="24"/>
      <w:shd w:val="clear" w:color="auto" w:fill="FFFFFF"/>
    </w:rPr>
  </w:style>
  <w:style w:type="paragraph" w:customStyle="1" w:styleId="wElencoNumL1">
    <w:name w:val="wElencoNum L1"/>
    <w:uiPriority w:val="99"/>
    <w:rsid w:val="00F252A3"/>
    <w:pPr>
      <w:widowControl w:val="0"/>
      <w:tabs>
        <w:tab w:val="left" w:pos="964"/>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ElencoNumL2">
    <w:name w:val="wElencoNum L2"/>
    <w:uiPriority w:val="99"/>
    <w:rsid w:val="00F252A3"/>
    <w:pPr>
      <w:widowControl w:val="0"/>
      <w:tabs>
        <w:tab w:val="left" w:pos="567"/>
      </w:tabs>
      <w:autoSpaceDE w:val="0"/>
      <w:autoSpaceDN w:val="0"/>
      <w:adjustRightInd w:val="0"/>
      <w:spacing w:line="260" w:lineRule="atLeast"/>
      <w:ind w:left="567" w:hanging="397"/>
      <w:jc w:val="both"/>
    </w:pPr>
    <w:rPr>
      <w:rFonts w:ascii="Arial" w:eastAsiaTheme="minorEastAsia" w:hAnsi="Arial" w:cs="Arial"/>
      <w:color w:val="000000"/>
      <w:sz w:val="24"/>
      <w:szCs w:val="24"/>
      <w:shd w:val="clear" w:color="auto" w:fill="FFFFFF"/>
    </w:rPr>
  </w:style>
  <w:style w:type="paragraph" w:customStyle="1" w:styleId="wElencoPuntL1">
    <w:name w:val="wElencoPunt L1"/>
    <w:uiPriority w:val="99"/>
    <w:rsid w:val="00F252A3"/>
    <w:pPr>
      <w:widowControl w:val="0"/>
      <w:tabs>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ElencoPuntL2">
    <w:name w:val="wElencoPunt L2"/>
    <w:uiPriority w:val="99"/>
    <w:rsid w:val="00F252A3"/>
    <w:pPr>
      <w:widowControl w:val="0"/>
      <w:tabs>
        <w:tab w:val="left" w:pos="567"/>
      </w:tabs>
      <w:autoSpaceDE w:val="0"/>
      <w:autoSpaceDN w:val="0"/>
      <w:adjustRightInd w:val="0"/>
      <w:spacing w:line="260" w:lineRule="atLeast"/>
      <w:ind w:left="567" w:hanging="397"/>
      <w:jc w:val="both"/>
    </w:pPr>
    <w:rPr>
      <w:rFonts w:ascii="Arial" w:eastAsiaTheme="minorEastAsia" w:hAnsi="Arial" w:cs="Arial"/>
      <w:color w:val="000000"/>
      <w:sz w:val="24"/>
      <w:szCs w:val="24"/>
      <w:shd w:val="clear" w:color="auto" w:fill="FFFFFF"/>
    </w:rPr>
  </w:style>
  <w:style w:type="paragraph" w:customStyle="1" w:styleId="wElencoTratL1">
    <w:name w:val="wElencoTrat L1"/>
    <w:uiPriority w:val="99"/>
    <w:rsid w:val="00F252A3"/>
    <w:pPr>
      <w:widowControl w:val="0"/>
      <w:tabs>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ElencoTratL2">
    <w:name w:val="wElencoTrat L2"/>
    <w:uiPriority w:val="99"/>
    <w:rsid w:val="00F252A3"/>
    <w:pPr>
      <w:widowControl w:val="0"/>
      <w:tabs>
        <w:tab w:val="left" w:pos="567"/>
      </w:tabs>
      <w:autoSpaceDE w:val="0"/>
      <w:autoSpaceDN w:val="0"/>
      <w:adjustRightInd w:val="0"/>
      <w:spacing w:line="260" w:lineRule="atLeast"/>
      <w:ind w:left="567" w:hanging="397"/>
      <w:jc w:val="both"/>
    </w:pPr>
    <w:rPr>
      <w:rFonts w:ascii="Arial" w:eastAsiaTheme="minorEastAsia" w:hAnsi="Arial" w:cs="Arial"/>
      <w:color w:val="000000"/>
      <w:sz w:val="24"/>
      <w:szCs w:val="24"/>
      <w:shd w:val="clear" w:color="auto" w:fill="FFFFFF"/>
    </w:rPr>
  </w:style>
  <w:style w:type="paragraph" w:customStyle="1" w:styleId="wFacSim">
    <w:name w:val="wFacSim"/>
    <w:uiPriority w:val="99"/>
    <w:rsid w:val="00F252A3"/>
    <w:pPr>
      <w:widowControl w:val="0"/>
      <w:tabs>
        <w:tab w:val="left" w:pos="1106"/>
      </w:tabs>
      <w:autoSpaceDE w:val="0"/>
      <w:autoSpaceDN w:val="0"/>
      <w:adjustRightInd w:val="0"/>
      <w:spacing w:line="270" w:lineRule="atLeast"/>
      <w:ind w:left="1106"/>
      <w:jc w:val="both"/>
    </w:pPr>
    <w:rPr>
      <w:rFonts w:ascii="Arial" w:eastAsiaTheme="minorEastAsia" w:hAnsi="Arial" w:cs="Arial"/>
      <w:color w:val="000000"/>
      <w:sz w:val="24"/>
      <w:szCs w:val="24"/>
      <w:shd w:val="clear" w:color="auto" w:fill="FFFFFF"/>
    </w:rPr>
  </w:style>
  <w:style w:type="paragraph" w:customStyle="1" w:styleId="wFacSimConcl">
    <w:name w:val="wFacSim Concl"/>
    <w:uiPriority w:val="99"/>
    <w:rsid w:val="00F252A3"/>
    <w:pPr>
      <w:widowControl w:val="0"/>
      <w:tabs>
        <w:tab w:val="left" w:pos="50"/>
        <w:tab w:val="left" w:pos="655"/>
        <w:tab w:val="left" w:pos="755"/>
        <w:tab w:val="left" w:pos="1202"/>
        <w:tab w:val="left" w:pos="1462"/>
        <w:tab w:val="left" w:pos="2182"/>
        <w:tab w:val="left" w:pos="2888"/>
        <w:tab w:val="left" w:pos="3593"/>
        <w:tab w:val="left" w:pos="4299"/>
        <w:tab w:val="left" w:pos="5019"/>
        <w:tab w:val="left" w:pos="5724"/>
        <w:tab w:val="left" w:pos="6430"/>
        <w:tab w:val="left" w:pos="7137"/>
        <w:tab w:val="left" w:pos="7856"/>
      </w:tabs>
      <w:autoSpaceDE w:val="0"/>
      <w:autoSpaceDN w:val="0"/>
      <w:adjustRightInd w:val="0"/>
      <w:ind w:left="1202" w:right="158"/>
      <w:jc w:val="center"/>
    </w:pPr>
    <w:rPr>
      <w:rFonts w:ascii="Arial" w:eastAsiaTheme="minorEastAsia" w:hAnsi="Arial" w:cs="Arial"/>
      <w:color w:val="000000"/>
      <w:sz w:val="24"/>
      <w:szCs w:val="24"/>
      <w:shd w:val="clear" w:color="auto" w:fill="FFFFFF"/>
    </w:rPr>
  </w:style>
  <w:style w:type="paragraph" w:customStyle="1" w:styleId="wFacSimData">
    <w:name w:val="wFacSim Data"/>
    <w:uiPriority w:val="99"/>
    <w:rsid w:val="00F252A3"/>
    <w:pPr>
      <w:widowControl w:val="0"/>
      <w:autoSpaceDE w:val="0"/>
      <w:autoSpaceDN w:val="0"/>
      <w:adjustRightInd w:val="0"/>
      <w:spacing w:line="260" w:lineRule="atLeast"/>
      <w:jc w:val="both"/>
    </w:pPr>
    <w:rPr>
      <w:rFonts w:ascii="Arial" w:eastAsiaTheme="minorEastAsia" w:hAnsi="Arial" w:cs="Arial"/>
      <w:color w:val="000000"/>
      <w:sz w:val="24"/>
      <w:szCs w:val="24"/>
      <w:shd w:val="clear" w:color="auto" w:fill="FFFFFF"/>
    </w:rPr>
  </w:style>
  <w:style w:type="paragraph" w:customStyle="1" w:styleId="wFacSimDest">
    <w:name w:val="wFacSim Dest"/>
    <w:uiPriority w:val="99"/>
    <w:rsid w:val="00F252A3"/>
    <w:pPr>
      <w:widowControl w:val="0"/>
      <w:autoSpaceDE w:val="0"/>
      <w:autoSpaceDN w:val="0"/>
      <w:adjustRightInd w:val="0"/>
      <w:spacing w:line="260" w:lineRule="atLeast"/>
      <w:jc w:val="right"/>
    </w:pPr>
    <w:rPr>
      <w:rFonts w:ascii="Arial" w:eastAsiaTheme="minorEastAsia" w:hAnsi="Arial" w:cs="Arial"/>
      <w:color w:val="000000"/>
      <w:sz w:val="24"/>
      <w:szCs w:val="24"/>
      <w:shd w:val="clear" w:color="auto" w:fill="FFFFFF"/>
    </w:rPr>
  </w:style>
  <w:style w:type="paragraph" w:customStyle="1" w:styleId="wFacSimDichiara">
    <w:name w:val="wFacSim Dichiara"/>
    <w:uiPriority w:val="99"/>
    <w:rsid w:val="00F252A3"/>
    <w:pPr>
      <w:widowControl w:val="0"/>
      <w:autoSpaceDE w:val="0"/>
      <w:autoSpaceDN w:val="0"/>
      <w:adjustRightInd w:val="0"/>
      <w:spacing w:line="260" w:lineRule="atLeast"/>
      <w:jc w:val="center"/>
    </w:pPr>
    <w:rPr>
      <w:rFonts w:ascii="Arial" w:eastAsiaTheme="minorEastAsia" w:hAnsi="Arial" w:cs="Arial"/>
      <w:color w:val="000000"/>
      <w:sz w:val="24"/>
      <w:szCs w:val="24"/>
      <w:shd w:val="clear" w:color="auto" w:fill="FFFFFF"/>
    </w:rPr>
  </w:style>
  <w:style w:type="paragraph" w:customStyle="1" w:styleId="wFacSimFirma">
    <w:name w:val="wFacSim Firma"/>
    <w:uiPriority w:val="99"/>
    <w:rsid w:val="00F252A3"/>
    <w:pPr>
      <w:widowControl w:val="0"/>
      <w:autoSpaceDE w:val="0"/>
      <w:autoSpaceDN w:val="0"/>
      <w:adjustRightInd w:val="0"/>
      <w:jc w:val="right"/>
    </w:pPr>
    <w:rPr>
      <w:rFonts w:ascii="Arial" w:eastAsiaTheme="minorEastAsia" w:hAnsi="Arial" w:cs="Arial"/>
      <w:color w:val="000000"/>
      <w:sz w:val="24"/>
      <w:szCs w:val="24"/>
      <w:shd w:val="clear" w:color="auto" w:fill="FFFFFF"/>
    </w:rPr>
  </w:style>
  <w:style w:type="paragraph" w:customStyle="1" w:styleId="wFacSimTit">
    <w:name w:val="wFacSim Tit"/>
    <w:uiPriority w:val="99"/>
    <w:rsid w:val="00F252A3"/>
    <w:pPr>
      <w:widowControl w:val="0"/>
      <w:autoSpaceDE w:val="0"/>
      <w:autoSpaceDN w:val="0"/>
      <w:adjustRightInd w:val="0"/>
      <w:spacing w:line="260" w:lineRule="atLeast"/>
      <w:jc w:val="center"/>
    </w:pPr>
    <w:rPr>
      <w:rFonts w:ascii="Arial" w:eastAsiaTheme="minorEastAsia" w:hAnsi="Arial" w:cs="Arial"/>
      <w:color w:val="000000"/>
      <w:sz w:val="24"/>
      <w:szCs w:val="24"/>
      <w:shd w:val="clear" w:color="auto" w:fill="FFFFFF"/>
    </w:rPr>
  </w:style>
  <w:style w:type="paragraph" w:customStyle="1" w:styleId="wFacSimTitolo">
    <w:name w:val="wFacSim Titolo"/>
    <w:uiPriority w:val="99"/>
    <w:rsid w:val="00F252A3"/>
    <w:pPr>
      <w:widowControl w:val="0"/>
      <w:autoSpaceDE w:val="0"/>
      <w:autoSpaceDN w:val="0"/>
      <w:adjustRightInd w:val="0"/>
      <w:spacing w:line="260" w:lineRule="atLeast"/>
      <w:jc w:val="center"/>
    </w:pPr>
    <w:rPr>
      <w:rFonts w:ascii="Arial" w:eastAsiaTheme="minorEastAsia" w:hAnsi="Arial" w:cs="Arial"/>
      <w:color w:val="000000"/>
      <w:sz w:val="24"/>
      <w:szCs w:val="24"/>
      <w:shd w:val="clear" w:color="auto" w:fill="FFFFFF"/>
    </w:rPr>
  </w:style>
  <w:style w:type="paragraph" w:customStyle="1" w:styleId="wFacSimTxt">
    <w:name w:val="wFacSim Txt"/>
    <w:uiPriority w:val="99"/>
    <w:rsid w:val="00F252A3"/>
    <w:pPr>
      <w:widowControl w:val="0"/>
      <w:autoSpaceDE w:val="0"/>
      <w:autoSpaceDN w:val="0"/>
      <w:adjustRightInd w:val="0"/>
      <w:spacing w:line="260" w:lineRule="atLeast"/>
      <w:jc w:val="both"/>
    </w:pPr>
    <w:rPr>
      <w:rFonts w:ascii="Arial" w:eastAsiaTheme="minorEastAsia" w:hAnsi="Arial" w:cs="Arial"/>
      <w:color w:val="000000"/>
      <w:sz w:val="24"/>
      <w:szCs w:val="24"/>
      <w:shd w:val="clear" w:color="auto" w:fill="FFFFFF"/>
    </w:rPr>
  </w:style>
  <w:style w:type="paragraph" w:customStyle="1" w:styleId="wFacSimTxtCHE">
    <w:name w:val="wFacSim Txt CHE"/>
    <w:uiPriority w:val="99"/>
    <w:rsid w:val="00F252A3"/>
    <w:pPr>
      <w:widowControl w:val="0"/>
      <w:tabs>
        <w:tab w:val="left" w:pos="964"/>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FacSimTxtCn">
    <w:name w:val="wFacSim Txt Cn"/>
    <w:uiPriority w:val="99"/>
    <w:rsid w:val="00F252A3"/>
    <w:pPr>
      <w:widowControl w:val="0"/>
      <w:autoSpaceDE w:val="0"/>
      <w:autoSpaceDN w:val="0"/>
      <w:adjustRightInd w:val="0"/>
      <w:spacing w:line="260" w:lineRule="atLeast"/>
      <w:jc w:val="center"/>
    </w:pPr>
    <w:rPr>
      <w:rFonts w:ascii="Arial" w:eastAsiaTheme="minorEastAsia" w:hAnsi="Arial" w:cs="Arial"/>
      <w:color w:val="000000"/>
      <w:sz w:val="24"/>
      <w:szCs w:val="24"/>
      <w:shd w:val="clear" w:color="auto" w:fill="FFFFFF"/>
    </w:rPr>
  </w:style>
  <w:style w:type="paragraph" w:customStyle="1" w:styleId="wFacSimTxtDx">
    <w:name w:val="wFacSim Txt Dx"/>
    <w:uiPriority w:val="99"/>
    <w:rsid w:val="00F252A3"/>
    <w:pPr>
      <w:widowControl w:val="0"/>
      <w:autoSpaceDE w:val="0"/>
      <w:autoSpaceDN w:val="0"/>
      <w:adjustRightInd w:val="0"/>
      <w:spacing w:line="260" w:lineRule="atLeast"/>
      <w:jc w:val="right"/>
    </w:pPr>
    <w:rPr>
      <w:rFonts w:ascii="Arial" w:eastAsiaTheme="minorEastAsia" w:hAnsi="Arial" w:cs="Arial"/>
      <w:color w:val="000000"/>
      <w:sz w:val="24"/>
      <w:szCs w:val="24"/>
      <w:shd w:val="clear" w:color="auto" w:fill="FFFFFF"/>
    </w:rPr>
  </w:style>
  <w:style w:type="paragraph" w:customStyle="1" w:styleId="wFacSimTxtGius">
    <w:name w:val="wFacSim Txt Gius"/>
    <w:uiPriority w:val="99"/>
    <w:rsid w:val="00F252A3"/>
    <w:pPr>
      <w:widowControl w:val="0"/>
      <w:autoSpaceDE w:val="0"/>
      <w:autoSpaceDN w:val="0"/>
      <w:adjustRightInd w:val="0"/>
      <w:spacing w:line="260" w:lineRule="atLeast"/>
      <w:ind w:left="1360" w:firstLine="396"/>
      <w:jc w:val="both"/>
    </w:pPr>
    <w:rPr>
      <w:rFonts w:ascii="Arial" w:eastAsiaTheme="minorEastAsia" w:hAnsi="Arial" w:cs="Arial"/>
      <w:color w:val="000000"/>
      <w:sz w:val="24"/>
      <w:szCs w:val="24"/>
      <w:shd w:val="clear" w:color="auto" w:fill="FFFFFF"/>
    </w:rPr>
  </w:style>
  <w:style w:type="paragraph" w:customStyle="1" w:styleId="wFacSimTxtLet">
    <w:name w:val="wFacSim Txt Let"/>
    <w:uiPriority w:val="99"/>
    <w:rsid w:val="00F252A3"/>
    <w:pPr>
      <w:widowControl w:val="0"/>
      <w:tabs>
        <w:tab w:val="left" w:pos="964"/>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FacSimTxtNota">
    <w:name w:val="wFacSim Txt Nota"/>
    <w:uiPriority w:val="99"/>
    <w:rsid w:val="00F252A3"/>
    <w:pPr>
      <w:widowControl w:val="0"/>
      <w:autoSpaceDE w:val="0"/>
      <w:autoSpaceDN w:val="0"/>
      <w:adjustRightInd w:val="0"/>
      <w:ind w:left="1360" w:firstLine="396"/>
      <w:jc w:val="both"/>
    </w:pPr>
    <w:rPr>
      <w:rFonts w:ascii="Arial" w:eastAsiaTheme="minorEastAsia" w:hAnsi="Arial" w:cs="Arial"/>
      <w:color w:val="000000"/>
      <w:sz w:val="24"/>
      <w:szCs w:val="24"/>
      <w:shd w:val="clear" w:color="auto" w:fill="FFFFFF"/>
    </w:rPr>
  </w:style>
  <w:style w:type="paragraph" w:customStyle="1" w:styleId="wFacSimTxtNum">
    <w:name w:val="wFacSim Txt Num"/>
    <w:uiPriority w:val="99"/>
    <w:rsid w:val="00F252A3"/>
    <w:pPr>
      <w:widowControl w:val="0"/>
      <w:tabs>
        <w:tab w:val="left" w:pos="964"/>
        <w:tab w:val="left" w:pos="1360"/>
      </w:tabs>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paragraph" w:customStyle="1" w:styleId="wFacSimTxtNum2">
    <w:name w:val="wFacSim Txt Num2"/>
    <w:uiPriority w:val="99"/>
    <w:rsid w:val="00F252A3"/>
    <w:pPr>
      <w:widowControl w:val="0"/>
      <w:autoSpaceDE w:val="0"/>
      <w:autoSpaceDN w:val="0"/>
      <w:adjustRightInd w:val="0"/>
      <w:spacing w:line="260" w:lineRule="atLeast"/>
      <w:ind w:left="964" w:hanging="396"/>
      <w:jc w:val="both"/>
    </w:pPr>
    <w:rPr>
      <w:rFonts w:ascii="Arial" w:eastAsiaTheme="minorEastAsia" w:hAnsi="Arial" w:cs="Arial"/>
      <w:color w:val="000000"/>
      <w:sz w:val="24"/>
      <w:szCs w:val="24"/>
      <w:shd w:val="clear" w:color="auto" w:fill="FFFFFF"/>
    </w:rPr>
  </w:style>
  <w:style w:type="character" w:styleId="Numeroriga">
    <w:name w:val="line number"/>
    <w:basedOn w:val="Carpredefinitoparagrafo"/>
    <w:uiPriority w:val="99"/>
    <w:rsid w:val="00F252A3"/>
    <w:rPr>
      <w:color w:val="000000"/>
      <w:shd w:val="clear" w:color="auto" w:fill="FFFFFF"/>
    </w:rPr>
  </w:style>
  <w:style w:type="paragraph" w:customStyle="1" w:styleId="OmniPage8">
    <w:name w:val="OmniPage #8"/>
    <w:uiPriority w:val="99"/>
    <w:rsid w:val="00F252A3"/>
    <w:pPr>
      <w:widowControl w:val="0"/>
      <w:autoSpaceDE w:val="0"/>
      <w:autoSpaceDN w:val="0"/>
      <w:adjustRightInd w:val="0"/>
      <w:spacing w:line="220" w:lineRule="exact"/>
    </w:pPr>
    <w:rPr>
      <w:rFonts w:ascii="Arial" w:eastAsiaTheme="minorEastAsia" w:hAnsi="Arial" w:cs="Arial"/>
      <w:color w:val="000000"/>
      <w:shd w:val="clear" w:color="auto" w:fill="FFFFFF"/>
    </w:rPr>
  </w:style>
  <w:style w:type="character" w:customStyle="1" w:styleId="StileRimandonotaapidipaginaGrassetto">
    <w:name w:val="Stile Rimando nota a piè di pagina + Grassetto"/>
    <w:uiPriority w:val="99"/>
    <w:rsid w:val="00F252A3"/>
    <w:rPr>
      <w:rFonts w:ascii="Times New Roman" w:hAnsi="Times New Roman" w:cs="Times New Roman"/>
      <w:b/>
      <w:bCs/>
      <w:color w:val="0000FF"/>
      <w:sz w:val="16"/>
      <w:szCs w:val="16"/>
      <w:shd w:val="clear" w:color="auto" w:fill="FFFFFF"/>
    </w:rPr>
  </w:style>
  <w:style w:type="paragraph" w:customStyle="1" w:styleId="Rub3">
    <w:name w:val="Rub3"/>
    <w:next w:val="Normale"/>
    <w:uiPriority w:val="99"/>
    <w:rsid w:val="00F252A3"/>
    <w:pPr>
      <w:widowControl w:val="0"/>
      <w:tabs>
        <w:tab w:val="left" w:pos="709"/>
      </w:tabs>
      <w:autoSpaceDE w:val="0"/>
      <w:autoSpaceDN w:val="0"/>
      <w:adjustRightInd w:val="0"/>
      <w:jc w:val="both"/>
    </w:pPr>
    <w:rPr>
      <w:rFonts w:ascii="Arial" w:eastAsiaTheme="minorEastAsia" w:hAnsi="Arial" w:cs="Arial"/>
      <w:b/>
      <w:bCs/>
      <w:i/>
      <w:iCs/>
      <w:color w:val="000000"/>
      <w:shd w:val="clear" w:color="auto" w:fill="FFFFFF"/>
    </w:rPr>
  </w:style>
  <w:style w:type="paragraph" w:customStyle="1" w:styleId="Rub1">
    <w:name w:val="Rub1"/>
    <w:uiPriority w:val="99"/>
    <w:rsid w:val="00F252A3"/>
    <w:pPr>
      <w:widowControl w:val="0"/>
      <w:tabs>
        <w:tab w:val="left" w:pos="1276"/>
      </w:tabs>
      <w:autoSpaceDE w:val="0"/>
      <w:autoSpaceDN w:val="0"/>
      <w:adjustRightInd w:val="0"/>
      <w:jc w:val="both"/>
    </w:pPr>
    <w:rPr>
      <w:rFonts w:ascii="Arial" w:eastAsiaTheme="minorEastAsia" w:hAnsi="Arial" w:cs="Arial"/>
      <w:b/>
      <w:bCs/>
      <w:smallCaps/>
      <w:color w:val="000000"/>
      <w:shd w:val="clear" w:color="auto" w:fill="FFFFFF"/>
    </w:rPr>
  </w:style>
  <w:style w:type="paragraph" w:customStyle="1" w:styleId="Rub2">
    <w:name w:val="Rub2"/>
    <w:next w:val="Normale"/>
    <w:uiPriority w:val="99"/>
    <w:rsid w:val="00F252A3"/>
    <w:pPr>
      <w:widowControl w:val="0"/>
      <w:tabs>
        <w:tab w:val="left" w:pos="709"/>
        <w:tab w:val="left" w:pos="5670"/>
        <w:tab w:val="left" w:pos="6663"/>
        <w:tab w:val="left" w:pos="7088"/>
      </w:tabs>
      <w:autoSpaceDE w:val="0"/>
      <w:autoSpaceDN w:val="0"/>
      <w:adjustRightInd w:val="0"/>
    </w:pPr>
    <w:rPr>
      <w:rFonts w:ascii="Arial" w:eastAsiaTheme="minorEastAsia" w:hAnsi="Arial" w:cs="Arial"/>
      <w:smallCaps/>
      <w:color w:val="000000"/>
      <w:shd w:val="clear" w:color="auto" w:fill="FFFFFF"/>
    </w:rPr>
  </w:style>
  <w:style w:type="paragraph" w:customStyle="1" w:styleId="Rub4">
    <w:name w:val="Rub4"/>
    <w:next w:val="Normale"/>
    <w:uiPriority w:val="99"/>
    <w:rsid w:val="00F252A3"/>
    <w:pPr>
      <w:widowControl w:val="0"/>
      <w:tabs>
        <w:tab w:val="left" w:pos="709"/>
      </w:tabs>
      <w:autoSpaceDE w:val="0"/>
      <w:autoSpaceDN w:val="0"/>
      <w:adjustRightInd w:val="0"/>
      <w:jc w:val="both"/>
    </w:pPr>
    <w:rPr>
      <w:rFonts w:ascii="Arial" w:eastAsiaTheme="minorEastAsia" w:hAnsi="Arial" w:cs="Arial"/>
      <w:i/>
      <w:iCs/>
      <w:color w:val="000000"/>
      <w:shd w:val="clear" w:color="auto" w:fill="FFFFFF"/>
    </w:rPr>
  </w:style>
  <w:style w:type="character" w:customStyle="1" w:styleId="NormaleWebCarattere">
    <w:name w:val="Normale (Web) Carattere"/>
    <w:uiPriority w:val="99"/>
    <w:rsid w:val="00F252A3"/>
    <w:rPr>
      <w:color w:val="000000"/>
      <w:shd w:val="clear" w:color="auto" w:fill="FFFFFF"/>
    </w:rPr>
  </w:style>
  <w:style w:type="character" w:customStyle="1" w:styleId="StileRimandonotaapidipagina">
    <w:name w:val="Stile Rimando nota a piè di pagina +"/>
    <w:uiPriority w:val="99"/>
    <w:rsid w:val="00F252A3"/>
    <w:rPr>
      <w:rFonts w:ascii="Times New Roman" w:hAnsi="Times New Roman" w:cs="Times New Roman"/>
      <w:b/>
      <w:bCs/>
      <w:color w:val="0000FF"/>
      <w:sz w:val="16"/>
      <w:szCs w:val="16"/>
      <w:shd w:val="clear" w:color="auto" w:fill="FFFFFF"/>
    </w:rPr>
  </w:style>
  <w:style w:type="character" w:customStyle="1" w:styleId="ParagraphFont">
    <w:name w:val="Paragraph Font"/>
    <w:uiPriority w:val="99"/>
    <w:rsid w:val="00F252A3"/>
    <w:rPr>
      <w:color w:val="000000"/>
      <w:shd w:val="clear" w:color="auto" w:fill="FFFFFF"/>
    </w:rPr>
  </w:style>
  <w:style w:type="paragraph" w:customStyle="1" w:styleId="TitoloARTICOLO">
    <w:name w:val="Titolo ARTICOLO"/>
    <w:next w:val="NormaleWeb"/>
    <w:uiPriority w:val="99"/>
    <w:rsid w:val="00F252A3"/>
    <w:pPr>
      <w:widowControl w:val="0"/>
      <w:autoSpaceDE w:val="0"/>
      <w:autoSpaceDN w:val="0"/>
      <w:adjustRightInd w:val="0"/>
      <w:spacing w:before="100"/>
      <w:jc w:val="both"/>
    </w:pPr>
    <w:rPr>
      <w:rFonts w:ascii="Tahoma" w:eastAsiaTheme="minorEastAsia" w:hAnsi="Tahoma" w:cs="Tahoma"/>
      <w:b/>
      <w:bCs/>
      <w:color w:val="000000"/>
      <w:shd w:val="clear" w:color="auto" w:fill="FFFFFF"/>
    </w:rPr>
  </w:style>
  <w:style w:type="paragraph" w:customStyle="1" w:styleId="StileTitolo3">
    <w:name w:val="Stile Titolo 3"/>
    <w:aliases w:val="CAPO + Times New Roman 12 pt"/>
    <w:uiPriority w:val="99"/>
    <w:rsid w:val="00F252A3"/>
    <w:pPr>
      <w:widowControl w:val="0"/>
      <w:autoSpaceDE w:val="0"/>
      <w:autoSpaceDN w:val="0"/>
      <w:adjustRightInd w:val="0"/>
      <w:spacing w:before="100"/>
      <w:jc w:val="both"/>
      <w:outlineLvl w:val="2"/>
    </w:pPr>
    <w:rPr>
      <w:rFonts w:ascii="Arial" w:eastAsiaTheme="minorEastAsia" w:hAnsi="Arial" w:cs="Arial"/>
      <w:b/>
      <w:bCs/>
      <w:color w:val="000000"/>
      <w:sz w:val="24"/>
      <w:szCs w:val="24"/>
      <w:shd w:val="clear" w:color="auto" w:fill="FFFFFF"/>
    </w:rPr>
  </w:style>
  <w:style w:type="character" w:customStyle="1" w:styleId="StileTitolo31">
    <w:name w:val="Stile Titolo 31"/>
    <w:aliases w:val="CAPO + Times New Roman 12 pt Carattere"/>
    <w:uiPriority w:val="99"/>
    <w:rsid w:val="00F252A3"/>
    <w:rPr>
      <w:b/>
      <w:bCs/>
      <w:color w:val="000000"/>
      <w:shd w:val="clear" w:color="auto" w:fill="FFFFFF"/>
    </w:rPr>
  </w:style>
  <w:style w:type="paragraph" w:customStyle="1" w:styleId="provvr0">
    <w:name w:val="provv_r0"/>
    <w:uiPriority w:val="99"/>
    <w:rsid w:val="00F252A3"/>
    <w:pPr>
      <w:widowControl w:val="0"/>
      <w:autoSpaceDE w:val="0"/>
      <w:autoSpaceDN w:val="0"/>
      <w:adjustRightInd w:val="0"/>
      <w:spacing w:before="100" w:after="100"/>
      <w:jc w:val="both"/>
    </w:pPr>
    <w:rPr>
      <w:rFonts w:ascii="Arial" w:eastAsiaTheme="minorEastAsia" w:hAnsi="Arial" w:cs="Arial"/>
      <w:sz w:val="24"/>
      <w:szCs w:val="24"/>
    </w:rPr>
  </w:style>
  <w:style w:type="paragraph" w:customStyle="1" w:styleId="Standard">
    <w:name w:val="Standard"/>
    <w:rsid w:val="0042222C"/>
    <w:pPr>
      <w:widowControl w:val="0"/>
      <w:suppressAutoHyphens/>
      <w:textAlignment w:val="baseline"/>
    </w:pPr>
    <w:rPr>
      <w:rFonts w:eastAsia="Arial Unicode MS" w:cs="Arial Unicode MS"/>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22021509">
      <w:bodyDiv w:val="1"/>
      <w:marLeft w:val="0"/>
      <w:marRight w:val="0"/>
      <w:marTop w:val="0"/>
      <w:marBottom w:val="0"/>
      <w:divBdr>
        <w:top w:val="none" w:sz="0" w:space="0" w:color="auto"/>
        <w:left w:val="none" w:sz="0" w:space="0" w:color="auto"/>
        <w:bottom w:val="none" w:sz="0" w:space="0" w:color="auto"/>
        <w:right w:val="none" w:sz="0" w:space="0" w:color="auto"/>
      </w:divBdr>
      <w:divsChild>
        <w:div w:id="599025361">
          <w:marLeft w:val="0"/>
          <w:marRight w:val="0"/>
          <w:marTop w:val="0"/>
          <w:marBottom w:val="0"/>
          <w:divBdr>
            <w:top w:val="none" w:sz="0" w:space="0" w:color="auto"/>
            <w:left w:val="none" w:sz="0" w:space="0" w:color="auto"/>
            <w:bottom w:val="none" w:sz="0" w:space="0" w:color="auto"/>
            <w:right w:val="none" w:sz="0" w:space="0" w:color="auto"/>
          </w:divBdr>
          <w:divsChild>
            <w:div w:id="1423523952">
              <w:marLeft w:val="0"/>
              <w:marRight w:val="0"/>
              <w:marTop w:val="0"/>
              <w:marBottom w:val="0"/>
              <w:divBdr>
                <w:top w:val="none" w:sz="0" w:space="0" w:color="auto"/>
                <w:left w:val="none" w:sz="0" w:space="0" w:color="auto"/>
                <w:bottom w:val="none" w:sz="0" w:space="0" w:color="auto"/>
                <w:right w:val="none" w:sz="0" w:space="0" w:color="auto"/>
              </w:divBdr>
              <w:divsChild>
                <w:div w:id="21387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707">
      <w:bodyDiv w:val="1"/>
      <w:marLeft w:val="0"/>
      <w:marRight w:val="0"/>
      <w:marTop w:val="0"/>
      <w:marBottom w:val="0"/>
      <w:divBdr>
        <w:top w:val="none" w:sz="0" w:space="0" w:color="auto"/>
        <w:left w:val="none" w:sz="0" w:space="0" w:color="auto"/>
        <w:bottom w:val="none" w:sz="0" w:space="0" w:color="auto"/>
        <w:right w:val="none" w:sz="0" w:space="0" w:color="auto"/>
      </w:divBdr>
    </w:div>
    <w:div w:id="166751532">
      <w:bodyDiv w:val="1"/>
      <w:marLeft w:val="0"/>
      <w:marRight w:val="0"/>
      <w:marTop w:val="0"/>
      <w:marBottom w:val="0"/>
      <w:divBdr>
        <w:top w:val="none" w:sz="0" w:space="0" w:color="auto"/>
        <w:left w:val="none" w:sz="0" w:space="0" w:color="auto"/>
        <w:bottom w:val="none" w:sz="0" w:space="0" w:color="auto"/>
        <w:right w:val="none" w:sz="0" w:space="0" w:color="auto"/>
      </w:divBdr>
    </w:div>
    <w:div w:id="225918810">
      <w:bodyDiv w:val="1"/>
      <w:marLeft w:val="103"/>
      <w:marRight w:val="103"/>
      <w:marTop w:val="39"/>
      <w:marBottom w:val="39"/>
      <w:divBdr>
        <w:top w:val="none" w:sz="0" w:space="0" w:color="auto"/>
        <w:left w:val="none" w:sz="0" w:space="0" w:color="auto"/>
        <w:bottom w:val="none" w:sz="0" w:space="0" w:color="auto"/>
        <w:right w:val="none" w:sz="0" w:space="0" w:color="auto"/>
      </w:divBdr>
      <w:divsChild>
        <w:div w:id="47265022">
          <w:marLeft w:val="0"/>
          <w:marRight w:val="0"/>
          <w:marTop w:val="0"/>
          <w:marBottom w:val="0"/>
          <w:divBdr>
            <w:top w:val="none" w:sz="0" w:space="0" w:color="auto"/>
            <w:left w:val="none" w:sz="0" w:space="0" w:color="auto"/>
            <w:bottom w:val="none" w:sz="0" w:space="0" w:color="auto"/>
            <w:right w:val="none" w:sz="0" w:space="0" w:color="auto"/>
          </w:divBdr>
          <w:divsChild>
            <w:div w:id="5782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5372">
      <w:bodyDiv w:val="1"/>
      <w:marLeft w:val="0"/>
      <w:marRight w:val="0"/>
      <w:marTop w:val="0"/>
      <w:marBottom w:val="0"/>
      <w:divBdr>
        <w:top w:val="none" w:sz="0" w:space="0" w:color="auto"/>
        <w:left w:val="none" w:sz="0" w:space="0" w:color="auto"/>
        <w:bottom w:val="none" w:sz="0" w:space="0" w:color="auto"/>
        <w:right w:val="none" w:sz="0" w:space="0" w:color="auto"/>
      </w:divBdr>
      <w:divsChild>
        <w:div w:id="197552766">
          <w:marLeft w:val="0"/>
          <w:marRight w:val="0"/>
          <w:marTop w:val="0"/>
          <w:marBottom w:val="0"/>
          <w:divBdr>
            <w:top w:val="none" w:sz="0" w:space="0" w:color="auto"/>
            <w:left w:val="none" w:sz="0" w:space="0" w:color="auto"/>
            <w:bottom w:val="none" w:sz="0" w:space="0" w:color="auto"/>
            <w:right w:val="none" w:sz="0" w:space="0" w:color="auto"/>
          </w:divBdr>
          <w:divsChild>
            <w:div w:id="374082147">
              <w:marLeft w:val="0"/>
              <w:marRight w:val="0"/>
              <w:marTop w:val="0"/>
              <w:marBottom w:val="0"/>
              <w:divBdr>
                <w:top w:val="none" w:sz="0" w:space="0" w:color="auto"/>
                <w:left w:val="none" w:sz="0" w:space="0" w:color="auto"/>
                <w:bottom w:val="none" w:sz="0" w:space="0" w:color="auto"/>
                <w:right w:val="none" w:sz="0" w:space="0" w:color="auto"/>
              </w:divBdr>
              <w:divsChild>
                <w:div w:id="1742633632">
                  <w:marLeft w:val="0"/>
                  <w:marRight w:val="0"/>
                  <w:marTop w:val="0"/>
                  <w:marBottom w:val="0"/>
                  <w:divBdr>
                    <w:top w:val="none" w:sz="0" w:space="0" w:color="auto"/>
                    <w:left w:val="none" w:sz="0" w:space="0" w:color="auto"/>
                    <w:bottom w:val="none" w:sz="0" w:space="0" w:color="auto"/>
                    <w:right w:val="none" w:sz="0" w:space="0" w:color="auto"/>
                  </w:divBdr>
                </w:div>
                <w:div w:id="1818497626">
                  <w:marLeft w:val="0"/>
                  <w:marRight w:val="0"/>
                  <w:marTop w:val="0"/>
                  <w:marBottom w:val="0"/>
                  <w:divBdr>
                    <w:top w:val="none" w:sz="0" w:space="0" w:color="auto"/>
                    <w:left w:val="none" w:sz="0" w:space="0" w:color="auto"/>
                    <w:bottom w:val="none" w:sz="0" w:space="0" w:color="auto"/>
                    <w:right w:val="none" w:sz="0" w:space="0" w:color="auto"/>
                  </w:divBdr>
                </w:div>
              </w:divsChild>
            </w:div>
            <w:div w:id="1064646430">
              <w:marLeft w:val="0"/>
              <w:marRight w:val="0"/>
              <w:marTop w:val="0"/>
              <w:marBottom w:val="0"/>
              <w:divBdr>
                <w:top w:val="none" w:sz="0" w:space="0" w:color="auto"/>
                <w:left w:val="none" w:sz="0" w:space="0" w:color="auto"/>
                <w:bottom w:val="none" w:sz="0" w:space="0" w:color="auto"/>
                <w:right w:val="none" w:sz="0" w:space="0" w:color="auto"/>
              </w:divBdr>
              <w:divsChild>
                <w:div w:id="20723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42540">
      <w:bodyDiv w:val="1"/>
      <w:marLeft w:val="0"/>
      <w:marRight w:val="0"/>
      <w:marTop w:val="0"/>
      <w:marBottom w:val="0"/>
      <w:divBdr>
        <w:top w:val="none" w:sz="0" w:space="0" w:color="auto"/>
        <w:left w:val="none" w:sz="0" w:space="0" w:color="auto"/>
        <w:bottom w:val="none" w:sz="0" w:space="0" w:color="auto"/>
        <w:right w:val="none" w:sz="0" w:space="0" w:color="auto"/>
      </w:divBdr>
    </w:div>
    <w:div w:id="306129510">
      <w:bodyDiv w:val="1"/>
      <w:marLeft w:val="0"/>
      <w:marRight w:val="0"/>
      <w:marTop w:val="0"/>
      <w:marBottom w:val="0"/>
      <w:divBdr>
        <w:top w:val="none" w:sz="0" w:space="0" w:color="auto"/>
        <w:left w:val="none" w:sz="0" w:space="0" w:color="auto"/>
        <w:bottom w:val="none" w:sz="0" w:space="0" w:color="auto"/>
        <w:right w:val="none" w:sz="0" w:space="0" w:color="auto"/>
      </w:divBdr>
    </w:div>
    <w:div w:id="368384806">
      <w:bodyDiv w:val="1"/>
      <w:marLeft w:val="0"/>
      <w:marRight w:val="0"/>
      <w:marTop w:val="0"/>
      <w:marBottom w:val="0"/>
      <w:divBdr>
        <w:top w:val="none" w:sz="0" w:space="0" w:color="auto"/>
        <w:left w:val="none" w:sz="0" w:space="0" w:color="auto"/>
        <w:bottom w:val="none" w:sz="0" w:space="0" w:color="auto"/>
        <w:right w:val="none" w:sz="0" w:space="0" w:color="auto"/>
      </w:divBdr>
    </w:div>
    <w:div w:id="424805963">
      <w:bodyDiv w:val="1"/>
      <w:marLeft w:val="0"/>
      <w:marRight w:val="0"/>
      <w:marTop w:val="0"/>
      <w:marBottom w:val="0"/>
      <w:divBdr>
        <w:top w:val="none" w:sz="0" w:space="0" w:color="auto"/>
        <w:left w:val="none" w:sz="0" w:space="0" w:color="auto"/>
        <w:bottom w:val="none" w:sz="0" w:space="0" w:color="auto"/>
        <w:right w:val="none" w:sz="0" w:space="0" w:color="auto"/>
      </w:divBdr>
      <w:divsChild>
        <w:div w:id="2072384474">
          <w:marLeft w:val="0"/>
          <w:marRight w:val="0"/>
          <w:marTop w:val="0"/>
          <w:marBottom w:val="0"/>
          <w:divBdr>
            <w:top w:val="none" w:sz="0" w:space="0" w:color="auto"/>
            <w:left w:val="none" w:sz="0" w:space="0" w:color="auto"/>
            <w:bottom w:val="none" w:sz="0" w:space="0" w:color="auto"/>
            <w:right w:val="none" w:sz="0" w:space="0" w:color="auto"/>
          </w:divBdr>
          <w:divsChild>
            <w:div w:id="1832986873">
              <w:marLeft w:val="0"/>
              <w:marRight w:val="0"/>
              <w:marTop w:val="0"/>
              <w:marBottom w:val="0"/>
              <w:divBdr>
                <w:top w:val="none" w:sz="0" w:space="0" w:color="auto"/>
                <w:left w:val="none" w:sz="0" w:space="0" w:color="auto"/>
                <w:bottom w:val="none" w:sz="0" w:space="0" w:color="auto"/>
                <w:right w:val="none" w:sz="0" w:space="0" w:color="auto"/>
              </w:divBdr>
              <w:divsChild>
                <w:div w:id="1729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6625">
      <w:bodyDiv w:val="1"/>
      <w:marLeft w:val="0"/>
      <w:marRight w:val="0"/>
      <w:marTop w:val="0"/>
      <w:marBottom w:val="0"/>
      <w:divBdr>
        <w:top w:val="none" w:sz="0" w:space="0" w:color="auto"/>
        <w:left w:val="none" w:sz="0" w:space="0" w:color="auto"/>
        <w:bottom w:val="none" w:sz="0" w:space="0" w:color="auto"/>
        <w:right w:val="none" w:sz="0" w:space="0" w:color="auto"/>
      </w:divBdr>
    </w:div>
    <w:div w:id="533882805">
      <w:bodyDiv w:val="1"/>
      <w:marLeft w:val="0"/>
      <w:marRight w:val="0"/>
      <w:marTop w:val="0"/>
      <w:marBottom w:val="0"/>
      <w:divBdr>
        <w:top w:val="none" w:sz="0" w:space="0" w:color="auto"/>
        <w:left w:val="none" w:sz="0" w:space="0" w:color="auto"/>
        <w:bottom w:val="none" w:sz="0" w:space="0" w:color="auto"/>
        <w:right w:val="none" w:sz="0" w:space="0" w:color="auto"/>
      </w:divBdr>
    </w:div>
    <w:div w:id="542055546">
      <w:bodyDiv w:val="1"/>
      <w:marLeft w:val="0"/>
      <w:marRight w:val="0"/>
      <w:marTop w:val="0"/>
      <w:marBottom w:val="0"/>
      <w:divBdr>
        <w:top w:val="none" w:sz="0" w:space="0" w:color="auto"/>
        <w:left w:val="none" w:sz="0" w:space="0" w:color="auto"/>
        <w:bottom w:val="none" w:sz="0" w:space="0" w:color="auto"/>
        <w:right w:val="none" w:sz="0" w:space="0" w:color="auto"/>
      </w:divBdr>
    </w:div>
    <w:div w:id="602222282">
      <w:bodyDiv w:val="1"/>
      <w:marLeft w:val="0"/>
      <w:marRight w:val="0"/>
      <w:marTop w:val="0"/>
      <w:marBottom w:val="0"/>
      <w:divBdr>
        <w:top w:val="none" w:sz="0" w:space="0" w:color="auto"/>
        <w:left w:val="none" w:sz="0" w:space="0" w:color="auto"/>
        <w:bottom w:val="none" w:sz="0" w:space="0" w:color="auto"/>
        <w:right w:val="none" w:sz="0" w:space="0" w:color="auto"/>
      </w:divBdr>
    </w:div>
    <w:div w:id="628822507">
      <w:bodyDiv w:val="1"/>
      <w:marLeft w:val="0"/>
      <w:marRight w:val="0"/>
      <w:marTop w:val="0"/>
      <w:marBottom w:val="0"/>
      <w:divBdr>
        <w:top w:val="none" w:sz="0" w:space="0" w:color="auto"/>
        <w:left w:val="none" w:sz="0" w:space="0" w:color="auto"/>
        <w:bottom w:val="none" w:sz="0" w:space="0" w:color="auto"/>
        <w:right w:val="none" w:sz="0" w:space="0" w:color="auto"/>
      </w:divBdr>
    </w:div>
    <w:div w:id="635259284">
      <w:bodyDiv w:val="1"/>
      <w:marLeft w:val="0"/>
      <w:marRight w:val="0"/>
      <w:marTop w:val="0"/>
      <w:marBottom w:val="0"/>
      <w:divBdr>
        <w:top w:val="none" w:sz="0" w:space="0" w:color="auto"/>
        <w:left w:val="none" w:sz="0" w:space="0" w:color="auto"/>
        <w:bottom w:val="none" w:sz="0" w:space="0" w:color="auto"/>
        <w:right w:val="none" w:sz="0" w:space="0" w:color="auto"/>
      </w:divBdr>
    </w:div>
    <w:div w:id="669870880">
      <w:bodyDiv w:val="1"/>
      <w:marLeft w:val="0"/>
      <w:marRight w:val="0"/>
      <w:marTop w:val="0"/>
      <w:marBottom w:val="0"/>
      <w:divBdr>
        <w:top w:val="none" w:sz="0" w:space="0" w:color="auto"/>
        <w:left w:val="none" w:sz="0" w:space="0" w:color="auto"/>
        <w:bottom w:val="none" w:sz="0" w:space="0" w:color="auto"/>
        <w:right w:val="none" w:sz="0" w:space="0" w:color="auto"/>
      </w:divBdr>
      <w:divsChild>
        <w:div w:id="74935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799223515">
          <w:blockQuote w:val="1"/>
          <w:marLeft w:val="720"/>
          <w:marRight w:val="720"/>
          <w:marTop w:val="100"/>
          <w:marBottom w:val="100"/>
          <w:divBdr>
            <w:top w:val="none" w:sz="0" w:space="0" w:color="auto"/>
            <w:left w:val="none" w:sz="0" w:space="0" w:color="auto"/>
            <w:bottom w:val="none" w:sz="0" w:space="0" w:color="auto"/>
            <w:right w:val="none" w:sz="0" w:space="0" w:color="auto"/>
          </w:divBdr>
        </w:div>
        <w:div w:id="749305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105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934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268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847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774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41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633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7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503477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3207">
      <w:bodyDiv w:val="1"/>
      <w:marLeft w:val="0"/>
      <w:marRight w:val="0"/>
      <w:marTop w:val="0"/>
      <w:marBottom w:val="0"/>
      <w:divBdr>
        <w:top w:val="none" w:sz="0" w:space="0" w:color="auto"/>
        <w:left w:val="none" w:sz="0" w:space="0" w:color="auto"/>
        <w:bottom w:val="none" w:sz="0" w:space="0" w:color="auto"/>
        <w:right w:val="none" w:sz="0" w:space="0" w:color="auto"/>
      </w:divBdr>
    </w:div>
    <w:div w:id="849031061">
      <w:bodyDiv w:val="1"/>
      <w:marLeft w:val="0"/>
      <w:marRight w:val="0"/>
      <w:marTop w:val="0"/>
      <w:marBottom w:val="0"/>
      <w:divBdr>
        <w:top w:val="none" w:sz="0" w:space="0" w:color="auto"/>
        <w:left w:val="none" w:sz="0" w:space="0" w:color="auto"/>
        <w:bottom w:val="none" w:sz="0" w:space="0" w:color="auto"/>
        <w:right w:val="none" w:sz="0" w:space="0" w:color="auto"/>
      </w:divBdr>
    </w:div>
    <w:div w:id="945886449">
      <w:bodyDiv w:val="1"/>
      <w:marLeft w:val="0"/>
      <w:marRight w:val="0"/>
      <w:marTop w:val="0"/>
      <w:marBottom w:val="0"/>
      <w:divBdr>
        <w:top w:val="none" w:sz="0" w:space="0" w:color="auto"/>
        <w:left w:val="none" w:sz="0" w:space="0" w:color="auto"/>
        <w:bottom w:val="none" w:sz="0" w:space="0" w:color="auto"/>
        <w:right w:val="none" w:sz="0" w:space="0" w:color="auto"/>
      </w:divBdr>
    </w:div>
    <w:div w:id="988946807">
      <w:bodyDiv w:val="1"/>
      <w:marLeft w:val="0"/>
      <w:marRight w:val="0"/>
      <w:marTop w:val="0"/>
      <w:marBottom w:val="0"/>
      <w:divBdr>
        <w:top w:val="none" w:sz="0" w:space="0" w:color="auto"/>
        <w:left w:val="none" w:sz="0" w:space="0" w:color="auto"/>
        <w:bottom w:val="none" w:sz="0" w:space="0" w:color="auto"/>
        <w:right w:val="none" w:sz="0" w:space="0" w:color="auto"/>
      </w:divBdr>
    </w:div>
    <w:div w:id="1033384458">
      <w:bodyDiv w:val="1"/>
      <w:marLeft w:val="0"/>
      <w:marRight w:val="0"/>
      <w:marTop w:val="0"/>
      <w:marBottom w:val="0"/>
      <w:divBdr>
        <w:top w:val="none" w:sz="0" w:space="0" w:color="auto"/>
        <w:left w:val="none" w:sz="0" w:space="0" w:color="auto"/>
        <w:bottom w:val="none" w:sz="0" w:space="0" w:color="auto"/>
        <w:right w:val="none" w:sz="0" w:space="0" w:color="auto"/>
      </w:divBdr>
    </w:div>
    <w:div w:id="1040082951">
      <w:bodyDiv w:val="1"/>
      <w:marLeft w:val="0"/>
      <w:marRight w:val="0"/>
      <w:marTop w:val="0"/>
      <w:marBottom w:val="0"/>
      <w:divBdr>
        <w:top w:val="none" w:sz="0" w:space="0" w:color="auto"/>
        <w:left w:val="none" w:sz="0" w:space="0" w:color="auto"/>
        <w:bottom w:val="none" w:sz="0" w:space="0" w:color="auto"/>
        <w:right w:val="none" w:sz="0" w:space="0" w:color="auto"/>
      </w:divBdr>
    </w:div>
    <w:div w:id="1093211592">
      <w:bodyDiv w:val="1"/>
      <w:marLeft w:val="0"/>
      <w:marRight w:val="0"/>
      <w:marTop w:val="0"/>
      <w:marBottom w:val="0"/>
      <w:divBdr>
        <w:top w:val="none" w:sz="0" w:space="0" w:color="auto"/>
        <w:left w:val="none" w:sz="0" w:space="0" w:color="auto"/>
        <w:bottom w:val="none" w:sz="0" w:space="0" w:color="auto"/>
        <w:right w:val="none" w:sz="0" w:space="0" w:color="auto"/>
      </w:divBdr>
    </w:div>
    <w:div w:id="1199853286">
      <w:bodyDiv w:val="1"/>
      <w:marLeft w:val="0"/>
      <w:marRight w:val="0"/>
      <w:marTop w:val="0"/>
      <w:marBottom w:val="0"/>
      <w:divBdr>
        <w:top w:val="none" w:sz="0" w:space="0" w:color="auto"/>
        <w:left w:val="none" w:sz="0" w:space="0" w:color="auto"/>
        <w:bottom w:val="none" w:sz="0" w:space="0" w:color="auto"/>
        <w:right w:val="none" w:sz="0" w:space="0" w:color="auto"/>
      </w:divBdr>
    </w:div>
    <w:div w:id="1224026326">
      <w:bodyDiv w:val="1"/>
      <w:marLeft w:val="0"/>
      <w:marRight w:val="0"/>
      <w:marTop w:val="0"/>
      <w:marBottom w:val="0"/>
      <w:divBdr>
        <w:top w:val="none" w:sz="0" w:space="0" w:color="auto"/>
        <w:left w:val="none" w:sz="0" w:space="0" w:color="auto"/>
        <w:bottom w:val="none" w:sz="0" w:space="0" w:color="auto"/>
        <w:right w:val="none" w:sz="0" w:space="0" w:color="auto"/>
      </w:divBdr>
    </w:div>
    <w:div w:id="1318729408">
      <w:bodyDiv w:val="1"/>
      <w:marLeft w:val="0"/>
      <w:marRight w:val="0"/>
      <w:marTop w:val="0"/>
      <w:marBottom w:val="0"/>
      <w:divBdr>
        <w:top w:val="none" w:sz="0" w:space="0" w:color="auto"/>
        <w:left w:val="none" w:sz="0" w:space="0" w:color="auto"/>
        <w:bottom w:val="none" w:sz="0" w:space="0" w:color="auto"/>
        <w:right w:val="none" w:sz="0" w:space="0" w:color="auto"/>
      </w:divBdr>
    </w:div>
    <w:div w:id="1457140762">
      <w:bodyDiv w:val="1"/>
      <w:marLeft w:val="0"/>
      <w:marRight w:val="0"/>
      <w:marTop w:val="0"/>
      <w:marBottom w:val="0"/>
      <w:divBdr>
        <w:top w:val="none" w:sz="0" w:space="0" w:color="auto"/>
        <w:left w:val="none" w:sz="0" w:space="0" w:color="auto"/>
        <w:bottom w:val="none" w:sz="0" w:space="0" w:color="auto"/>
        <w:right w:val="none" w:sz="0" w:space="0" w:color="auto"/>
      </w:divBdr>
    </w:div>
    <w:div w:id="1458716796">
      <w:bodyDiv w:val="1"/>
      <w:marLeft w:val="0"/>
      <w:marRight w:val="0"/>
      <w:marTop w:val="0"/>
      <w:marBottom w:val="0"/>
      <w:divBdr>
        <w:top w:val="none" w:sz="0" w:space="0" w:color="auto"/>
        <w:left w:val="none" w:sz="0" w:space="0" w:color="auto"/>
        <w:bottom w:val="none" w:sz="0" w:space="0" w:color="auto"/>
        <w:right w:val="none" w:sz="0" w:space="0" w:color="auto"/>
      </w:divBdr>
    </w:div>
    <w:div w:id="1653749647">
      <w:bodyDiv w:val="1"/>
      <w:marLeft w:val="0"/>
      <w:marRight w:val="0"/>
      <w:marTop w:val="0"/>
      <w:marBottom w:val="0"/>
      <w:divBdr>
        <w:top w:val="none" w:sz="0" w:space="0" w:color="auto"/>
        <w:left w:val="none" w:sz="0" w:space="0" w:color="auto"/>
        <w:bottom w:val="none" w:sz="0" w:space="0" w:color="auto"/>
        <w:right w:val="none" w:sz="0" w:space="0" w:color="auto"/>
      </w:divBdr>
      <w:divsChild>
        <w:div w:id="1344744574">
          <w:marLeft w:val="0"/>
          <w:marRight w:val="0"/>
          <w:marTop w:val="0"/>
          <w:marBottom w:val="0"/>
          <w:divBdr>
            <w:top w:val="none" w:sz="0" w:space="0" w:color="auto"/>
            <w:left w:val="none" w:sz="0" w:space="0" w:color="auto"/>
            <w:bottom w:val="none" w:sz="0" w:space="0" w:color="auto"/>
            <w:right w:val="none" w:sz="0" w:space="0" w:color="auto"/>
          </w:divBdr>
          <w:divsChild>
            <w:div w:id="202717890">
              <w:marLeft w:val="0"/>
              <w:marRight w:val="0"/>
              <w:marTop w:val="0"/>
              <w:marBottom w:val="0"/>
              <w:divBdr>
                <w:top w:val="none" w:sz="0" w:space="0" w:color="auto"/>
                <w:left w:val="none" w:sz="0" w:space="0" w:color="auto"/>
                <w:bottom w:val="none" w:sz="0" w:space="0" w:color="auto"/>
                <w:right w:val="none" w:sz="0" w:space="0" w:color="auto"/>
              </w:divBdr>
              <w:divsChild>
                <w:div w:id="1422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54062">
      <w:bodyDiv w:val="1"/>
      <w:marLeft w:val="0"/>
      <w:marRight w:val="0"/>
      <w:marTop w:val="0"/>
      <w:marBottom w:val="0"/>
      <w:divBdr>
        <w:top w:val="none" w:sz="0" w:space="0" w:color="auto"/>
        <w:left w:val="none" w:sz="0" w:space="0" w:color="auto"/>
        <w:bottom w:val="none" w:sz="0" w:space="0" w:color="auto"/>
        <w:right w:val="none" w:sz="0" w:space="0" w:color="auto"/>
      </w:divBdr>
      <w:divsChild>
        <w:div w:id="199974668">
          <w:marLeft w:val="0"/>
          <w:marRight w:val="0"/>
          <w:marTop w:val="0"/>
          <w:marBottom w:val="0"/>
          <w:divBdr>
            <w:top w:val="none" w:sz="0" w:space="0" w:color="auto"/>
            <w:left w:val="none" w:sz="0" w:space="0" w:color="auto"/>
            <w:bottom w:val="none" w:sz="0" w:space="0" w:color="auto"/>
            <w:right w:val="none" w:sz="0" w:space="0" w:color="auto"/>
          </w:divBdr>
          <w:divsChild>
            <w:div w:id="1427966308">
              <w:marLeft w:val="0"/>
              <w:marRight w:val="0"/>
              <w:marTop w:val="0"/>
              <w:marBottom w:val="0"/>
              <w:divBdr>
                <w:top w:val="none" w:sz="0" w:space="0" w:color="auto"/>
                <w:left w:val="none" w:sz="0" w:space="0" w:color="auto"/>
                <w:bottom w:val="none" w:sz="0" w:space="0" w:color="auto"/>
                <w:right w:val="none" w:sz="0" w:space="0" w:color="auto"/>
              </w:divBdr>
              <w:divsChild>
                <w:div w:id="1589650713">
                  <w:marLeft w:val="0"/>
                  <w:marRight w:val="0"/>
                  <w:marTop w:val="0"/>
                  <w:marBottom w:val="0"/>
                  <w:divBdr>
                    <w:top w:val="none" w:sz="0" w:space="0" w:color="auto"/>
                    <w:left w:val="none" w:sz="0" w:space="0" w:color="auto"/>
                    <w:bottom w:val="none" w:sz="0" w:space="0" w:color="auto"/>
                    <w:right w:val="none" w:sz="0" w:space="0" w:color="auto"/>
                  </w:divBdr>
                </w:div>
                <w:div w:id="1411074095">
                  <w:marLeft w:val="0"/>
                  <w:marRight w:val="0"/>
                  <w:marTop w:val="0"/>
                  <w:marBottom w:val="0"/>
                  <w:divBdr>
                    <w:top w:val="none" w:sz="0" w:space="0" w:color="auto"/>
                    <w:left w:val="none" w:sz="0" w:space="0" w:color="auto"/>
                    <w:bottom w:val="none" w:sz="0" w:space="0" w:color="auto"/>
                    <w:right w:val="none" w:sz="0" w:space="0" w:color="auto"/>
                  </w:divBdr>
                </w:div>
              </w:divsChild>
            </w:div>
            <w:div w:id="115611336">
              <w:marLeft w:val="0"/>
              <w:marRight w:val="0"/>
              <w:marTop w:val="0"/>
              <w:marBottom w:val="0"/>
              <w:divBdr>
                <w:top w:val="none" w:sz="0" w:space="0" w:color="auto"/>
                <w:left w:val="none" w:sz="0" w:space="0" w:color="auto"/>
                <w:bottom w:val="none" w:sz="0" w:space="0" w:color="auto"/>
                <w:right w:val="none" w:sz="0" w:space="0" w:color="auto"/>
              </w:divBdr>
              <w:divsChild>
                <w:div w:id="1344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1125">
      <w:bodyDiv w:val="1"/>
      <w:marLeft w:val="0"/>
      <w:marRight w:val="0"/>
      <w:marTop w:val="0"/>
      <w:marBottom w:val="0"/>
      <w:divBdr>
        <w:top w:val="none" w:sz="0" w:space="0" w:color="auto"/>
        <w:left w:val="none" w:sz="0" w:space="0" w:color="auto"/>
        <w:bottom w:val="none" w:sz="0" w:space="0" w:color="auto"/>
        <w:right w:val="none" w:sz="0" w:space="0" w:color="auto"/>
      </w:divBdr>
    </w:div>
    <w:div w:id="1766420408">
      <w:bodyDiv w:val="1"/>
      <w:marLeft w:val="0"/>
      <w:marRight w:val="0"/>
      <w:marTop w:val="0"/>
      <w:marBottom w:val="0"/>
      <w:divBdr>
        <w:top w:val="none" w:sz="0" w:space="0" w:color="auto"/>
        <w:left w:val="none" w:sz="0" w:space="0" w:color="auto"/>
        <w:bottom w:val="none" w:sz="0" w:space="0" w:color="auto"/>
        <w:right w:val="none" w:sz="0" w:space="0" w:color="auto"/>
      </w:divBdr>
    </w:div>
    <w:div w:id="1790391525">
      <w:bodyDiv w:val="1"/>
      <w:marLeft w:val="0"/>
      <w:marRight w:val="0"/>
      <w:marTop w:val="0"/>
      <w:marBottom w:val="0"/>
      <w:divBdr>
        <w:top w:val="none" w:sz="0" w:space="0" w:color="auto"/>
        <w:left w:val="none" w:sz="0" w:space="0" w:color="auto"/>
        <w:bottom w:val="none" w:sz="0" w:space="0" w:color="auto"/>
        <w:right w:val="none" w:sz="0" w:space="0" w:color="auto"/>
      </w:divBdr>
    </w:div>
    <w:div w:id="1835992244">
      <w:bodyDiv w:val="1"/>
      <w:marLeft w:val="0"/>
      <w:marRight w:val="0"/>
      <w:marTop w:val="0"/>
      <w:marBottom w:val="0"/>
      <w:divBdr>
        <w:top w:val="none" w:sz="0" w:space="0" w:color="auto"/>
        <w:left w:val="none" w:sz="0" w:space="0" w:color="auto"/>
        <w:bottom w:val="none" w:sz="0" w:space="0" w:color="auto"/>
        <w:right w:val="none" w:sz="0" w:space="0" w:color="auto"/>
      </w:divBdr>
    </w:div>
    <w:div w:id="1894391110">
      <w:bodyDiv w:val="1"/>
      <w:marLeft w:val="0"/>
      <w:marRight w:val="0"/>
      <w:marTop w:val="0"/>
      <w:marBottom w:val="0"/>
      <w:divBdr>
        <w:top w:val="none" w:sz="0" w:space="0" w:color="auto"/>
        <w:left w:val="none" w:sz="0" w:space="0" w:color="auto"/>
        <w:bottom w:val="none" w:sz="0" w:space="0" w:color="auto"/>
        <w:right w:val="none" w:sz="0" w:space="0" w:color="auto"/>
      </w:divBdr>
    </w:div>
    <w:div w:id="1916746857">
      <w:bodyDiv w:val="1"/>
      <w:marLeft w:val="0"/>
      <w:marRight w:val="0"/>
      <w:marTop w:val="0"/>
      <w:marBottom w:val="0"/>
      <w:divBdr>
        <w:top w:val="none" w:sz="0" w:space="0" w:color="auto"/>
        <w:left w:val="none" w:sz="0" w:space="0" w:color="auto"/>
        <w:bottom w:val="none" w:sz="0" w:space="0" w:color="auto"/>
        <w:right w:val="none" w:sz="0" w:space="0" w:color="auto"/>
      </w:divBdr>
    </w:div>
    <w:div w:id="1922105908">
      <w:bodyDiv w:val="1"/>
      <w:marLeft w:val="0"/>
      <w:marRight w:val="0"/>
      <w:marTop w:val="0"/>
      <w:marBottom w:val="0"/>
      <w:divBdr>
        <w:top w:val="none" w:sz="0" w:space="0" w:color="auto"/>
        <w:left w:val="none" w:sz="0" w:space="0" w:color="auto"/>
        <w:bottom w:val="none" w:sz="0" w:space="0" w:color="auto"/>
        <w:right w:val="none" w:sz="0" w:space="0" w:color="auto"/>
      </w:divBdr>
      <w:divsChild>
        <w:div w:id="1692416394">
          <w:marLeft w:val="0"/>
          <w:marRight w:val="0"/>
          <w:marTop w:val="0"/>
          <w:marBottom w:val="0"/>
          <w:divBdr>
            <w:top w:val="none" w:sz="0" w:space="0" w:color="auto"/>
            <w:left w:val="none" w:sz="0" w:space="0" w:color="auto"/>
            <w:bottom w:val="none" w:sz="0" w:space="0" w:color="auto"/>
            <w:right w:val="none" w:sz="0" w:space="0" w:color="auto"/>
          </w:divBdr>
          <w:divsChild>
            <w:div w:id="510341740">
              <w:marLeft w:val="0"/>
              <w:marRight w:val="0"/>
              <w:marTop w:val="0"/>
              <w:marBottom w:val="0"/>
              <w:divBdr>
                <w:top w:val="none" w:sz="0" w:space="0" w:color="auto"/>
                <w:left w:val="none" w:sz="0" w:space="0" w:color="auto"/>
                <w:bottom w:val="none" w:sz="0" w:space="0" w:color="auto"/>
                <w:right w:val="none" w:sz="0" w:space="0" w:color="auto"/>
              </w:divBdr>
              <w:divsChild>
                <w:div w:id="805128348">
                  <w:marLeft w:val="0"/>
                  <w:marRight w:val="0"/>
                  <w:marTop w:val="0"/>
                  <w:marBottom w:val="0"/>
                  <w:divBdr>
                    <w:top w:val="none" w:sz="0" w:space="0" w:color="auto"/>
                    <w:left w:val="none" w:sz="0" w:space="0" w:color="auto"/>
                    <w:bottom w:val="none" w:sz="0" w:space="0" w:color="auto"/>
                    <w:right w:val="none" w:sz="0" w:space="0" w:color="auto"/>
                  </w:divBdr>
                </w:div>
              </w:divsChild>
            </w:div>
            <w:div w:id="456411976">
              <w:marLeft w:val="0"/>
              <w:marRight w:val="0"/>
              <w:marTop w:val="0"/>
              <w:marBottom w:val="0"/>
              <w:divBdr>
                <w:top w:val="none" w:sz="0" w:space="0" w:color="auto"/>
                <w:left w:val="none" w:sz="0" w:space="0" w:color="auto"/>
                <w:bottom w:val="none" w:sz="0" w:space="0" w:color="auto"/>
                <w:right w:val="none" w:sz="0" w:space="0" w:color="auto"/>
              </w:divBdr>
              <w:divsChild>
                <w:div w:id="1994219353">
                  <w:marLeft w:val="0"/>
                  <w:marRight w:val="0"/>
                  <w:marTop w:val="0"/>
                  <w:marBottom w:val="0"/>
                  <w:divBdr>
                    <w:top w:val="none" w:sz="0" w:space="0" w:color="auto"/>
                    <w:left w:val="none" w:sz="0" w:space="0" w:color="auto"/>
                    <w:bottom w:val="none" w:sz="0" w:space="0" w:color="auto"/>
                    <w:right w:val="none" w:sz="0" w:space="0" w:color="auto"/>
                  </w:divBdr>
                </w:div>
                <w:div w:id="24601194">
                  <w:marLeft w:val="0"/>
                  <w:marRight w:val="0"/>
                  <w:marTop w:val="0"/>
                  <w:marBottom w:val="0"/>
                  <w:divBdr>
                    <w:top w:val="none" w:sz="0" w:space="0" w:color="auto"/>
                    <w:left w:val="none" w:sz="0" w:space="0" w:color="auto"/>
                    <w:bottom w:val="none" w:sz="0" w:space="0" w:color="auto"/>
                    <w:right w:val="none" w:sz="0" w:space="0" w:color="auto"/>
                  </w:divBdr>
                </w:div>
                <w:div w:id="429854158">
                  <w:marLeft w:val="0"/>
                  <w:marRight w:val="0"/>
                  <w:marTop w:val="0"/>
                  <w:marBottom w:val="0"/>
                  <w:divBdr>
                    <w:top w:val="none" w:sz="0" w:space="0" w:color="auto"/>
                    <w:left w:val="none" w:sz="0" w:space="0" w:color="auto"/>
                    <w:bottom w:val="none" w:sz="0" w:space="0" w:color="auto"/>
                    <w:right w:val="none" w:sz="0" w:space="0" w:color="auto"/>
                  </w:divBdr>
                </w:div>
              </w:divsChild>
            </w:div>
            <w:div w:id="1829590645">
              <w:marLeft w:val="0"/>
              <w:marRight w:val="0"/>
              <w:marTop w:val="0"/>
              <w:marBottom w:val="0"/>
              <w:divBdr>
                <w:top w:val="none" w:sz="0" w:space="0" w:color="auto"/>
                <w:left w:val="none" w:sz="0" w:space="0" w:color="auto"/>
                <w:bottom w:val="none" w:sz="0" w:space="0" w:color="auto"/>
                <w:right w:val="none" w:sz="0" w:space="0" w:color="auto"/>
              </w:divBdr>
              <w:divsChild>
                <w:div w:id="570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768808">
      <w:bodyDiv w:val="1"/>
      <w:marLeft w:val="0"/>
      <w:marRight w:val="0"/>
      <w:marTop w:val="0"/>
      <w:marBottom w:val="0"/>
      <w:divBdr>
        <w:top w:val="none" w:sz="0" w:space="0" w:color="auto"/>
        <w:left w:val="none" w:sz="0" w:space="0" w:color="auto"/>
        <w:bottom w:val="none" w:sz="0" w:space="0" w:color="auto"/>
        <w:right w:val="none" w:sz="0" w:space="0" w:color="auto"/>
      </w:divBdr>
    </w:div>
    <w:div w:id="2025864515">
      <w:bodyDiv w:val="1"/>
      <w:marLeft w:val="0"/>
      <w:marRight w:val="0"/>
      <w:marTop w:val="0"/>
      <w:marBottom w:val="0"/>
      <w:divBdr>
        <w:top w:val="none" w:sz="0" w:space="0" w:color="auto"/>
        <w:left w:val="none" w:sz="0" w:space="0" w:color="auto"/>
        <w:bottom w:val="none" w:sz="0" w:space="0" w:color="auto"/>
        <w:right w:val="none" w:sz="0" w:space="0" w:color="auto"/>
      </w:divBdr>
    </w:div>
    <w:div w:id="2027750253">
      <w:bodyDiv w:val="1"/>
      <w:marLeft w:val="0"/>
      <w:marRight w:val="0"/>
      <w:marTop w:val="0"/>
      <w:marBottom w:val="0"/>
      <w:divBdr>
        <w:top w:val="none" w:sz="0" w:space="0" w:color="auto"/>
        <w:left w:val="none" w:sz="0" w:space="0" w:color="auto"/>
        <w:bottom w:val="none" w:sz="0" w:space="0" w:color="auto"/>
        <w:right w:val="none" w:sz="0" w:space="0" w:color="auto"/>
      </w:divBdr>
    </w:div>
    <w:div w:id="2079744999">
      <w:bodyDiv w:val="1"/>
      <w:marLeft w:val="0"/>
      <w:marRight w:val="0"/>
      <w:marTop w:val="0"/>
      <w:marBottom w:val="0"/>
      <w:divBdr>
        <w:top w:val="none" w:sz="0" w:space="0" w:color="auto"/>
        <w:left w:val="none" w:sz="0" w:space="0" w:color="auto"/>
        <w:bottom w:val="none" w:sz="0" w:space="0" w:color="auto"/>
        <w:right w:val="none" w:sz="0" w:space="0" w:color="auto"/>
      </w:divBdr>
    </w:div>
    <w:div w:id="214565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Utente\Desktop\HYPER_PUNTO_IND|10|Qualit&#22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FD6BB-4BB2-4F0F-A867-68BE72CA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43</Pages>
  <Words>23167</Words>
  <Characters>134766</Characters>
  <Application>Microsoft Office Word</Application>
  <DocSecurity>0</DocSecurity>
  <Lines>1123</Lines>
  <Paragraphs>315</Paragraphs>
  <ScaleCrop>false</ScaleCrop>
  <HeadingPairs>
    <vt:vector size="2" baseType="variant">
      <vt:variant>
        <vt:lpstr>Titolo</vt:lpstr>
      </vt:variant>
      <vt:variant>
        <vt:i4>1</vt:i4>
      </vt:variant>
    </vt:vector>
  </HeadingPairs>
  <TitlesOfParts>
    <vt:vector size="1" baseType="lpstr">
      <vt:lpstr>999-PE-GN-REL</vt:lpstr>
    </vt:vector>
  </TitlesOfParts>
  <Company>AICE Consulting Srl</Company>
  <LinksUpToDate>false</LinksUpToDate>
  <CharactersWithSpaces>157618</CharactersWithSpaces>
  <SharedDoc>false</SharedDoc>
  <HLinks>
    <vt:vector size="1110" baseType="variant">
      <vt:variant>
        <vt:i4>1179709</vt:i4>
      </vt:variant>
      <vt:variant>
        <vt:i4>1106</vt:i4>
      </vt:variant>
      <vt:variant>
        <vt:i4>0</vt:i4>
      </vt:variant>
      <vt:variant>
        <vt:i4>5</vt:i4>
      </vt:variant>
      <vt:variant>
        <vt:lpwstr/>
      </vt:variant>
      <vt:variant>
        <vt:lpwstr>_Toc466560969</vt:lpwstr>
      </vt:variant>
      <vt:variant>
        <vt:i4>1179709</vt:i4>
      </vt:variant>
      <vt:variant>
        <vt:i4>1100</vt:i4>
      </vt:variant>
      <vt:variant>
        <vt:i4>0</vt:i4>
      </vt:variant>
      <vt:variant>
        <vt:i4>5</vt:i4>
      </vt:variant>
      <vt:variant>
        <vt:lpwstr/>
      </vt:variant>
      <vt:variant>
        <vt:lpwstr>_Toc466560968</vt:lpwstr>
      </vt:variant>
      <vt:variant>
        <vt:i4>1179709</vt:i4>
      </vt:variant>
      <vt:variant>
        <vt:i4>1094</vt:i4>
      </vt:variant>
      <vt:variant>
        <vt:i4>0</vt:i4>
      </vt:variant>
      <vt:variant>
        <vt:i4>5</vt:i4>
      </vt:variant>
      <vt:variant>
        <vt:lpwstr/>
      </vt:variant>
      <vt:variant>
        <vt:lpwstr>_Toc466560967</vt:lpwstr>
      </vt:variant>
      <vt:variant>
        <vt:i4>1179709</vt:i4>
      </vt:variant>
      <vt:variant>
        <vt:i4>1088</vt:i4>
      </vt:variant>
      <vt:variant>
        <vt:i4>0</vt:i4>
      </vt:variant>
      <vt:variant>
        <vt:i4>5</vt:i4>
      </vt:variant>
      <vt:variant>
        <vt:lpwstr/>
      </vt:variant>
      <vt:variant>
        <vt:lpwstr>_Toc466560966</vt:lpwstr>
      </vt:variant>
      <vt:variant>
        <vt:i4>1179709</vt:i4>
      </vt:variant>
      <vt:variant>
        <vt:i4>1082</vt:i4>
      </vt:variant>
      <vt:variant>
        <vt:i4>0</vt:i4>
      </vt:variant>
      <vt:variant>
        <vt:i4>5</vt:i4>
      </vt:variant>
      <vt:variant>
        <vt:lpwstr/>
      </vt:variant>
      <vt:variant>
        <vt:lpwstr>_Toc466560965</vt:lpwstr>
      </vt:variant>
      <vt:variant>
        <vt:i4>1179709</vt:i4>
      </vt:variant>
      <vt:variant>
        <vt:i4>1076</vt:i4>
      </vt:variant>
      <vt:variant>
        <vt:i4>0</vt:i4>
      </vt:variant>
      <vt:variant>
        <vt:i4>5</vt:i4>
      </vt:variant>
      <vt:variant>
        <vt:lpwstr/>
      </vt:variant>
      <vt:variant>
        <vt:lpwstr>_Toc466560964</vt:lpwstr>
      </vt:variant>
      <vt:variant>
        <vt:i4>1179709</vt:i4>
      </vt:variant>
      <vt:variant>
        <vt:i4>1070</vt:i4>
      </vt:variant>
      <vt:variant>
        <vt:i4>0</vt:i4>
      </vt:variant>
      <vt:variant>
        <vt:i4>5</vt:i4>
      </vt:variant>
      <vt:variant>
        <vt:lpwstr/>
      </vt:variant>
      <vt:variant>
        <vt:lpwstr>_Toc466560963</vt:lpwstr>
      </vt:variant>
      <vt:variant>
        <vt:i4>1179709</vt:i4>
      </vt:variant>
      <vt:variant>
        <vt:i4>1064</vt:i4>
      </vt:variant>
      <vt:variant>
        <vt:i4>0</vt:i4>
      </vt:variant>
      <vt:variant>
        <vt:i4>5</vt:i4>
      </vt:variant>
      <vt:variant>
        <vt:lpwstr/>
      </vt:variant>
      <vt:variant>
        <vt:lpwstr>_Toc466560962</vt:lpwstr>
      </vt:variant>
      <vt:variant>
        <vt:i4>1179709</vt:i4>
      </vt:variant>
      <vt:variant>
        <vt:i4>1058</vt:i4>
      </vt:variant>
      <vt:variant>
        <vt:i4>0</vt:i4>
      </vt:variant>
      <vt:variant>
        <vt:i4>5</vt:i4>
      </vt:variant>
      <vt:variant>
        <vt:lpwstr/>
      </vt:variant>
      <vt:variant>
        <vt:lpwstr>_Toc466560961</vt:lpwstr>
      </vt:variant>
      <vt:variant>
        <vt:i4>1179709</vt:i4>
      </vt:variant>
      <vt:variant>
        <vt:i4>1052</vt:i4>
      </vt:variant>
      <vt:variant>
        <vt:i4>0</vt:i4>
      </vt:variant>
      <vt:variant>
        <vt:i4>5</vt:i4>
      </vt:variant>
      <vt:variant>
        <vt:lpwstr/>
      </vt:variant>
      <vt:variant>
        <vt:lpwstr>_Toc466560960</vt:lpwstr>
      </vt:variant>
      <vt:variant>
        <vt:i4>1114173</vt:i4>
      </vt:variant>
      <vt:variant>
        <vt:i4>1046</vt:i4>
      </vt:variant>
      <vt:variant>
        <vt:i4>0</vt:i4>
      </vt:variant>
      <vt:variant>
        <vt:i4>5</vt:i4>
      </vt:variant>
      <vt:variant>
        <vt:lpwstr/>
      </vt:variant>
      <vt:variant>
        <vt:lpwstr>_Toc466560959</vt:lpwstr>
      </vt:variant>
      <vt:variant>
        <vt:i4>1114173</vt:i4>
      </vt:variant>
      <vt:variant>
        <vt:i4>1040</vt:i4>
      </vt:variant>
      <vt:variant>
        <vt:i4>0</vt:i4>
      </vt:variant>
      <vt:variant>
        <vt:i4>5</vt:i4>
      </vt:variant>
      <vt:variant>
        <vt:lpwstr/>
      </vt:variant>
      <vt:variant>
        <vt:lpwstr>_Toc466560958</vt:lpwstr>
      </vt:variant>
      <vt:variant>
        <vt:i4>1114173</vt:i4>
      </vt:variant>
      <vt:variant>
        <vt:i4>1034</vt:i4>
      </vt:variant>
      <vt:variant>
        <vt:i4>0</vt:i4>
      </vt:variant>
      <vt:variant>
        <vt:i4>5</vt:i4>
      </vt:variant>
      <vt:variant>
        <vt:lpwstr/>
      </vt:variant>
      <vt:variant>
        <vt:lpwstr>_Toc466560957</vt:lpwstr>
      </vt:variant>
      <vt:variant>
        <vt:i4>1114173</vt:i4>
      </vt:variant>
      <vt:variant>
        <vt:i4>1028</vt:i4>
      </vt:variant>
      <vt:variant>
        <vt:i4>0</vt:i4>
      </vt:variant>
      <vt:variant>
        <vt:i4>5</vt:i4>
      </vt:variant>
      <vt:variant>
        <vt:lpwstr/>
      </vt:variant>
      <vt:variant>
        <vt:lpwstr>_Toc466560956</vt:lpwstr>
      </vt:variant>
      <vt:variant>
        <vt:i4>1114173</vt:i4>
      </vt:variant>
      <vt:variant>
        <vt:i4>1022</vt:i4>
      </vt:variant>
      <vt:variant>
        <vt:i4>0</vt:i4>
      </vt:variant>
      <vt:variant>
        <vt:i4>5</vt:i4>
      </vt:variant>
      <vt:variant>
        <vt:lpwstr/>
      </vt:variant>
      <vt:variant>
        <vt:lpwstr>_Toc466560955</vt:lpwstr>
      </vt:variant>
      <vt:variant>
        <vt:i4>1114173</vt:i4>
      </vt:variant>
      <vt:variant>
        <vt:i4>1016</vt:i4>
      </vt:variant>
      <vt:variant>
        <vt:i4>0</vt:i4>
      </vt:variant>
      <vt:variant>
        <vt:i4>5</vt:i4>
      </vt:variant>
      <vt:variant>
        <vt:lpwstr/>
      </vt:variant>
      <vt:variant>
        <vt:lpwstr>_Toc466560954</vt:lpwstr>
      </vt:variant>
      <vt:variant>
        <vt:i4>1114173</vt:i4>
      </vt:variant>
      <vt:variant>
        <vt:i4>1010</vt:i4>
      </vt:variant>
      <vt:variant>
        <vt:i4>0</vt:i4>
      </vt:variant>
      <vt:variant>
        <vt:i4>5</vt:i4>
      </vt:variant>
      <vt:variant>
        <vt:lpwstr/>
      </vt:variant>
      <vt:variant>
        <vt:lpwstr>_Toc466560953</vt:lpwstr>
      </vt:variant>
      <vt:variant>
        <vt:i4>1114173</vt:i4>
      </vt:variant>
      <vt:variant>
        <vt:i4>1004</vt:i4>
      </vt:variant>
      <vt:variant>
        <vt:i4>0</vt:i4>
      </vt:variant>
      <vt:variant>
        <vt:i4>5</vt:i4>
      </vt:variant>
      <vt:variant>
        <vt:lpwstr/>
      </vt:variant>
      <vt:variant>
        <vt:lpwstr>_Toc466560952</vt:lpwstr>
      </vt:variant>
      <vt:variant>
        <vt:i4>1114173</vt:i4>
      </vt:variant>
      <vt:variant>
        <vt:i4>998</vt:i4>
      </vt:variant>
      <vt:variant>
        <vt:i4>0</vt:i4>
      </vt:variant>
      <vt:variant>
        <vt:i4>5</vt:i4>
      </vt:variant>
      <vt:variant>
        <vt:lpwstr/>
      </vt:variant>
      <vt:variant>
        <vt:lpwstr>_Toc466560951</vt:lpwstr>
      </vt:variant>
      <vt:variant>
        <vt:i4>1114173</vt:i4>
      </vt:variant>
      <vt:variant>
        <vt:i4>992</vt:i4>
      </vt:variant>
      <vt:variant>
        <vt:i4>0</vt:i4>
      </vt:variant>
      <vt:variant>
        <vt:i4>5</vt:i4>
      </vt:variant>
      <vt:variant>
        <vt:lpwstr/>
      </vt:variant>
      <vt:variant>
        <vt:lpwstr>_Toc466560950</vt:lpwstr>
      </vt:variant>
      <vt:variant>
        <vt:i4>1048637</vt:i4>
      </vt:variant>
      <vt:variant>
        <vt:i4>986</vt:i4>
      </vt:variant>
      <vt:variant>
        <vt:i4>0</vt:i4>
      </vt:variant>
      <vt:variant>
        <vt:i4>5</vt:i4>
      </vt:variant>
      <vt:variant>
        <vt:lpwstr/>
      </vt:variant>
      <vt:variant>
        <vt:lpwstr>_Toc466560949</vt:lpwstr>
      </vt:variant>
      <vt:variant>
        <vt:i4>1048637</vt:i4>
      </vt:variant>
      <vt:variant>
        <vt:i4>980</vt:i4>
      </vt:variant>
      <vt:variant>
        <vt:i4>0</vt:i4>
      </vt:variant>
      <vt:variant>
        <vt:i4>5</vt:i4>
      </vt:variant>
      <vt:variant>
        <vt:lpwstr/>
      </vt:variant>
      <vt:variant>
        <vt:lpwstr>_Toc466560948</vt:lpwstr>
      </vt:variant>
      <vt:variant>
        <vt:i4>1048637</vt:i4>
      </vt:variant>
      <vt:variant>
        <vt:i4>974</vt:i4>
      </vt:variant>
      <vt:variant>
        <vt:i4>0</vt:i4>
      </vt:variant>
      <vt:variant>
        <vt:i4>5</vt:i4>
      </vt:variant>
      <vt:variant>
        <vt:lpwstr/>
      </vt:variant>
      <vt:variant>
        <vt:lpwstr>_Toc466560947</vt:lpwstr>
      </vt:variant>
      <vt:variant>
        <vt:i4>1048637</vt:i4>
      </vt:variant>
      <vt:variant>
        <vt:i4>968</vt:i4>
      </vt:variant>
      <vt:variant>
        <vt:i4>0</vt:i4>
      </vt:variant>
      <vt:variant>
        <vt:i4>5</vt:i4>
      </vt:variant>
      <vt:variant>
        <vt:lpwstr/>
      </vt:variant>
      <vt:variant>
        <vt:lpwstr>_Toc466560946</vt:lpwstr>
      </vt:variant>
      <vt:variant>
        <vt:i4>1048637</vt:i4>
      </vt:variant>
      <vt:variant>
        <vt:i4>962</vt:i4>
      </vt:variant>
      <vt:variant>
        <vt:i4>0</vt:i4>
      </vt:variant>
      <vt:variant>
        <vt:i4>5</vt:i4>
      </vt:variant>
      <vt:variant>
        <vt:lpwstr/>
      </vt:variant>
      <vt:variant>
        <vt:lpwstr>_Toc466560945</vt:lpwstr>
      </vt:variant>
      <vt:variant>
        <vt:i4>1048637</vt:i4>
      </vt:variant>
      <vt:variant>
        <vt:i4>956</vt:i4>
      </vt:variant>
      <vt:variant>
        <vt:i4>0</vt:i4>
      </vt:variant>
      <vt:variant>
        <vt:i4>5</vt:i4>
      </vt:variant>
      <vt:variant>
        <vt:lpwstr/>
      </vt:variant>
      <vt:variant>
        <vt:lpwstr>_Toc466560944</vt:lpwstr>
      </vt:variant>
      <vt:variant>
        <vt:i4>1048637</vt:i4>
      </vt:variant>
      <vt:variant>
        <vt:i4>950</vt:i4>
      </vt:variant>
      <vt:variant>
        <vt:i4>0</vt:i4>
      </vt:variant>
      <vt:variant>
        <vt:i4>5</vt:i4>
      </vt:variant>
      <vt:variant>
        <vt:lpwstr/>
      </vt:variant>
      <vt:variant>
        <vt:lpwstr>_Toc466560943</vt:lpwstr>
      </vt:variant>
      <vt:variant>
        <vt:i4>1048637</vt:i4>
      </vt:variant>
      <vt:variant>
        <vt:i4>944</vt:i4>
      </vt:variant>
      <vt:variant>
        <vt:i4>0</vt:i4>
      </vt:variant>
      <vt:variant>
        <vt:i4>5</vt:i4>
      </vt:variant>
      <vt:variant>
        <vt:lpwstr/>
      </vt:variant>
      <vt:variant>
        <vt:lpwstr>_Toc466560942</vt:lpwstr>
      </vt:variant>
      <vt:variant>
        <vt:i4>1048637</vt:i4>
      </vt:variant>
      <vt:variant>
        <vt:i4>938</vt:i4>
      </vt:variant>
      <vt:variant>
        <vt:i4>0</vt:i4>
      </vt:variant>
      <vt:variant>
        <vt:i4>5</vt:i4>
      </vt:variant>
      <vt:variant>
        <vt:lpwstr/>
      </vt:variant>
      <vt:variant>
        <vt:lpwstr>_Toc466560941</vt:lpwstr>
      </vt:variant>
      <vt:variant>
        <vt:i4>1048637</vt:i4>
      </vt:variant>
      <vt:variant>
        <vt:i4>932</vt:i4>
      </vt:variant>
      <vt:variant>
        <vt:i4>0</vt:i4>
      </vt:variant>
      <vt:variant>
        <vt:i4>5</vt:i4>
      </vt:variant>
      <vt:variant>
        <vt:lpwstr/>
      </vt:variant>
      <vt:variant>
        <vt:lpwstr>_Toc466560940</vt:lpwstr>
      </vt:variant>
      <vt:variant>
        <vt:i4>1507389</vt:i4>
      </vt:variant>
      <vt:variant>
        <vt:i4>926</vt:i4>
      </vt:variant>
      <vt:variant>
        <vt:i4>0</vt:i4>
      </vt:variant>
      <vt:variant>
        <vt:i4>5</vt:i4>
      </vt:variant>
      <vt:variant>
        <vt:lpwstr/>
      </vt:variant>
      <vt:variant>
        <vt:lpwstr>_Toc466560939</vt:lpwstr>
      </vt:variant>
      <vt:variant>
        <vt:i4>1507389</vt:i4>
      </vt:variant>
      <vt:variant>
        <vt:i4>920</vt:i4>
      </vt:variant>
      <vt:variant>
        <vt:i4>0</vt:i4>
      </vt:variant>
      <vt:variant>
        <vt:i4>5</vt:i4>
      </vt:variant>
      <vt:variant>
        <vt:lpwstr/>
      </vt:variant>
      <vt:variant>
        <vt:lpwstr>_Toc466560938</vt:lpwstr>
      </vt:variant>
      <vt:variant>
        <vt:i4>1507389</vt:i4>
      </vt:variant>
      <vt:variant>
        <vt:i4>914</vt:i4>
      </vt:variant>
      <vt:variant>
        <vt:i4>0</vt:i4>
      </vt:variant>
      <vt:variant>
        <vt:i4>5</vt:i4>
      </vt:variant>
      <vt:variant>
        <vt:lpwstr/>
      </vt:variant>
      <vt:variant>
        <vt:lpwstr>_Toc466560937</vt:lpwstr>
      </vt:variant>
      <vt:variant>
        <vt:i4>1507389</vt:i4>
      </vt:variant>
      <vt:variant>
        <vt:i4>908</vt:i4>
      </vt:variant>
      <vt:variant>
        <vt:i4>0</vt:i4>
      </vt:variant>
      <vt:variant>
        <vt:i4>5</vt:i4>
      </vt:variant>
      <vt:variant>
        <vt:lpwstr/>
      </vt:variant>
      <vt:variant>
        <vt:lpwstr>_Toc466560936</vt:lpwstr>
      </vt:variant>
      <vt:variant>
        <vt:i4>1507389</vt:i4>
      </vt:variant>
      <vt:variant>
        <vt:i4>902</vt:i4>
      </vt:variant>
      <vt:variant>
        <vt:i4>0</vt:i4>
      </vt:variant>
      <vt:variant>
        <vt:i4>5</vt:i4>
      </vt:variant>
      <vt:variant>
        <vt:lpwstr/>
      </vt:variant>
      <vt:variant>
        <vt:lpwstr>_Toc466560935</vt:lpwstr>
      </vt:variant>
      <vt:variant>
        <vt:i4>1507389</vt:i4>
      </vt:variant>
      <vt:variant>
        <vt:i4>896</vt:i4>
      </vt:variant>
      <vt:variant>
        <vt:i4>0</vt:i4>
      </vt:variant>
      <vt:variant>
        <vt:i4>5</vt:i4>
      </vt:variant>
      <vt:variant>
        <vt:lpwstr/>
      </vt:variant>
      <vt:variant>
        <vt:lpwstr>_Toc466560934</vt:lpwstr>
      </vt:variant>
      <vt:variant>
        <vt:i4>1507389</vt:i4>
      </vt:variant>
      <vt:variant>
        <vt:i4>890</vt:i4>
      </vt:variant>
      <vt:variant>
        <vt:i4>0</vt:i4>
      </vt:variant>
      <vt:variant>
        <vt:i4>5</vt:i4>
      </vt:variant>
      <vt:variant>
        <vt:lpwstr/>
      </vt:variant>
      <vt:variant>
        <vt:lpwstr>_Toc466560933</vt:lpwstr>
      </vt:variant>
      <vt:variant>
        <vt:i4>1507389</vt:i4>
      </vt:variant>
      <vt:variant>
        <vt:i4>884</vt:i4>
      </vt:variant>
      <vt:variant>
        <vt:i4>0</vt:i4>
      </vt:variant>
      <vt:variant>
        <vt:i4>5</vt:i4>
      </vt:variant>
      <vt:variant>
        <vt:lpwstr/>
      </vt:variant>
      <vt:variant>
        <vt:lpwstr>_Toc466560932</vt:lpwstr>
      </vt:variant>
      <vt:variant>
        <vt:i4>1507389</vt:i4>
      </vt:variant>
      <vt:variant>
        <vt:i4>878</vt:i4>
      </vt:variant>
      <vt:variant>
        <vt:i4>0</vt:i4>
      </vt:variant>
      <vt:variant>
        <vt:i4>5</vt:i4>
      </vt:variant>
      <vt:variant>
        <vt:lpwstr/>
      </vt:variant>
      <vt:variant>
        <vt:lpwstr>_Toc466560931</vt:lpwstr>
      </vt:variant>
      <vt:variant>
        <vt:i4>1507389</vt:i4>
      </vt:variant>
      <vt:variant>
        <vt:i4>872</vt:i4>
      </vt:variant>
      <vt:variant>
        <vt:i4>0</vt:i4>
      </vt:variant>
      <vt:variant>
        <vt:i4>5</vt:i4>
      </vt:variant>
      <vt:variant>
        <vt:lpwstr/>
      </vt:variant>
      <vt:variant>
        <vt:lpwstr>_Toc466560930</vt:lpwstr>
      </vt:variant>
      <vt:variant>
        <vt:i4>1441853</vt:i4>
      </vt:variant>
      <vt:variant>
        <vt:i4>866</vt:i4>
      </vt:variant>
      <vt:variant>
        <vt:i4>0</vt:i4>
      </vt:variant>
      <vt:variant>
        <vt:i4>5</vt:i4>
      </vt:variant>
      <vt:variant>
        <vt:lpwstr/>
      </vt:variant>
      <vt:variant>
        <vt:lpwstr>_Toc466560929</vt:lpwstr>
      </vt:variant>
      <vt:variant>
        <vt:i4>1441853</vt:i4>
      </vt:variant>
      <vt:variant>
        <vt:i4>860</vt:i4>
      </vt:variant>
      <vt:variant>
        <vt:i4>0</vt:i4>
      </vt:variant>
      <vt:variant>
        <vt:i4>5</vt:i4>
      </vt:variant>
      <vt:variant>
        <vt:lpwstr/>
      </vt:variant>
      <vt:variant>
        <vt:lpwstr>_Toc466560928</vt:lpwstr>
      </vt:variant>
      <vt:variant>
        <vt:i4>1441853</vt:i4>
      </vt:variant>
      <vt:variant>
        <vt:i4>854</vt:i4>
      </vt:variant>
      <vt:variant>
        <vt:i4>0</vt:i4>
      </vt:variant>
      <vt:variant>
        <vt:i4>5</vt:i4>
      </vt:variant>
      <vt:variant>
        <vt:lpwstr/>
      </vt:variant>
      <vt:variant>
        <vt:lpwstr>_Toc466560927</vt:lpwstr>
      </vt:variant>
      <vt:variant>
        <vt:i4>1441853</vt:i4>
      </vt:variant>
      <vt:variant>
        <vt:i4>848</vt:i4>
      </vt:variant>
      <vt:variant>
        <vt:i4>0</vt:i4>
      </vt:variant>
      <vt:variant>
        <vt:i4>5</vt:i4>
      </vt:variant>
      <vt:variant>
        <vt:lpwstr/>
      </vt:variant>
      <vt:variant>
        <vt:lpwstr>_Toc466560926</vt:lpwstr>
      </vt:variant>
      <vt:variant>
        <vt:i4>1441853</vt:i4>
      </vt:variant>
      <vt:variant>
        <vt:i4>842</vt:i4>
      </vt:variant>
      <vt:variant>
        <vt:i4>0</vt:i4>
      </vt:variant>
      <vt:variant>
        <vt:i4>5</vt:i4>
      </vt:variant>
      <vt:variant>
        <vt:lpwstr/>
      </vt:variant>
      <vt:variant>
        <vt:lpwstr>_Toc466560925</vt:lpwstr>
      </vt:variant>
      <vt:variant>
        <vt:i4>1441853</vt:i4>
      </vt:variant>
      <vt:variant>
        <vt:i4>836</vt:i4>
      </vt:variant>
      <vt:variant>
        <vt:i4>0</vt:i4>
      </vt:variant>
      <vt:variant>
        <vt:i4>5</vt:i4>
      </vt:variant>
      <vt:variant>
        <vt:lpwstr/>
      </vt:variant>
      <vt:variant>
        <vt:lpwstr>_Toc466560924</vt:lpwstr>
      </vt:variant>
      <vt:variant>
        <vt:i4>1441853</vt:i4>
      </vt:variant>
      <vt:variant>
        <vt:i4>830</vt:i4>
      </vt:variant>
      <vt:variant>
        <vt:i4>0</vt:i4>
      </vt:variant>
      <vt:variant>
        <vt:i4>5</vt:i4>
      </vt:variant>
      <vt:variant>
        <vt:lpwstr/>
      </vt:variant>
      <vt:variant>
        <vt:lpwstr>_Toc466560923</vt:lpwstr>
      </vt:variant>
      <vt:variant>
        <vt:i4>1441853</vt:i4>
      </vt:variant>
      <vt:variant>
        <vt:i4>824</vt:i4>
      </vt:variant>
      <vt:variant>
        <vt:i4>0</vt:i4>
      </vt:variant>
      <vt:variant>
        <vt:i4>5</vt:i4>
      </vt:variant>
      <vt:variant>
        <vt:lpwstr/>
      </vt:variant>
      <vt:variant>
        <vt:lpwstr>_Toc466560922</vt:lpwstr>
      </vt:variant>
      <vt:variant>
        <vt:i4>1441853</vt:i4>
      </vt:variant>
      <vt:variant>
        <vt:i4>818</vt:i4>
      </vt:variant>
      <vt:variant>
        <vt:i4>0</vt:i4>
      </vt:variant>
      <vt:variant>
        <vt:i4>5</vt:i4>
      </vt:variant>
      <vt:variant>
        <vt:lpwstr/>
      </vt:variant>
      <vt:variant>
        <vt:lpwstr>_Toc466560921</vt:lpwstr>
      </vt:variant>
      <vt:variant>
        <vt:i4>1441853</vt:i4>
      </vt:variant>
      <vt:variant>
        <vt:i4>812</vt:i4>
      </vt:variant>
      <vt:variant>
        <vt:i4>0</vt:i4>
      </vt:variant>
      <vt:variant>
        <vt:i4>5</vt:i4>
      </vt:variant>
      <vt:variant>
        <vt:lpwstr/>
      </vt:variant>
      <vt:variant>
        <vt:lpwstr>_Toc466560920</vt:lpwstr>
      </vt:variant>
      <vt:variant>
        <vt:i4>1376317</vt:i4>
      </vt:variant>
      <vt:variant>
        <vt:i4>806</vt:i4>
      </vt:variant>
      <vt:variant>
        <vt:i4>0</vt:i4>
      </vt:variant>
      <vt:variant>
        <vt:i4>5</vt:i4>
      </vt:variant>
      <vt:variant>
        <vt:lpwstr/>
      </vt:variant>
      <vt:variant>
        <vt:lpwstr>_Toc466560919</vt:lpwstr>
      </vt:variant>
      <vt:variant>
        <vt:i4>1376317</vt:i4>
      </vt:variant>
      <vt:variant>
        <vt:i4>800</vt:i4>
      </vt:variant>
      <vt:variant>
        <vt:i4>0</vt:i4>
      </vt:variant>
      <vt:variant>
        <vt:i4>5</vt:i4>
      </vt:variant>
      <vt:variant>
        <vt:lpwstr/>
      </vt:variant>
      <vt:variant>
        <vt:lpwstr>_Toc466560918</vt:lpwstr>
      </vt:variant>
      <vt:variant>
        <vt:i4>1376317</vt:i4>
      </vt:variant>
      <vt:variant>
        <vt:i4>794</vt:i4>
      </vt:variant>
      <vt:variant>
        <vt:i4>0</vt:i4>
      </vt:variant>
      <vt:variant>
        <vt:i4>5</vt:i4>
      </vt:variant>
      <vt:variant>
        <vt:lpwstr/>
      </vt:variant>
      <vt:variant>
        <vt:lpwstr>_Toc466560917</vt:lpwstr>
      </vt:variant>
      <vt:variant>
        <vt:i4>1376317</vt:i4>
      </vt:variant>
      <vt:variant>
        <vt:i4>788</vt:i4>
      </vt:variant>
      <vt:variant>
        <vt:i4>0</vt:i4>
      </vt:variant>
      <vt:variant>
        <vt:i4>5</vt:i4>
      </vt:variant>
      <vt:variant>
        <vt:lpwstr/>
      </vt:variant>
      <vt:variant>
        <vt:lpwstr>_Toc466560916</vt:lpwstr>
      </vt:variant>
      <vt:variant>
        <vt:i4>1376317</vt:i4>
      </vt:variant>
      <vt:variant>
        <vt:i4>782</vt:i4>
      </vt:variant>
      <vt:variant>
        <vt:i4>0</vt:i4>
      </vt:variant>
      <vt:variant>
        <vt:i4>5</vt:i4>
      </vt:variant>
      <vt:variant>
        <vt:lpwstr/>
      </vt:variant>
      <vt:variant>
        <vt:lpwstr>_Toc466560915</vt:lpwstr>
      </vt:variant>
      <vt:variant>
        <vt:i4>1376317</vt:i4>
      </vt:variant>
      <vt:variant>
        <vt:i4>776</vt:i4>
      </vt:variant>
      <vt:variant>
        <vt:i4>0</vt:i4>
      </vt:variant>
      <vt:variant>
        <vt:i4>5</vt:i4>
      </vt:variant>
      <vt:variant>
        <vt:lpwstr/>
      </vt:variant>
      <vt:variant>
        <vt:lpwstr>_Toc466560914</vt:lpwstr>
      </vt:variant>
      <vt:variant>
        <vt:i4>1376317</vt:i4>
      </vt:variant>
      <vt:variant>
        <vt:i4>770</vt:i4>
      </vt:variant>
      <vt:variant>
        <vt:i4>0</vt:i4>
      </vt:variant>
      <vt:variant>
        <vt:i4>5</vt:i4>
      </vt:variant>
      <vt:variant>
        <vt:lpwstr/>
      </vt:variant>
      <vt:variant>
        <vt:lpwstr>_Toc466560913</vt:lpwstr>
      </vt:variant>
      <vt:variant>
        <vt:i4>1376317</vt:i4>
      </vt:variant>
      <vt:variant>
        <vt:i4>764</vt:i4>
      </vt:variant>
      <vt:variant>
        <vt:i4>0</vt:i4>
      </vt:variant>
      <vt:variant>
        <vt:i4>5</vt:i4>
      </vt:variant>
      <vt:variant>
        <vt:lpwstr/>
      </vt:variant>
      <vt:variant>
        <vt:lpwstr>_Toc466560912</vt:lpwstr>
      </vt:variant>
      <vt:variant>
        <vt:i4>1376317</vt:i4>
      </vt:variant>
      <vt:variant>
        <vt:i4>758</vt:i4>
      </vt:variant>
      <vt:variant>
        <vt:i4>0</vt:i4>
      </vt:variant>
      <vt:variant>
        <vt:i4>5</vt:i4>
      </vt:variant>
      <vt:variant>
        <vt:lpwstr/>
      </vt:variant>
      <vt:variant>
        <vt:lpwstr>_Toc466560911</vt:lpwstr>
      </vt:variant>
      <vt:variant>
        <vt:i4>1376317</vt:i4>
      </vt:variant>
      <vt:variant>
        <vt:i4>752</vt:i4>
      </vt:variant>
      <vt:variant>
        <vt:i4>0</vt:i4>
      </vt:variant>
      <vt:variant>
        <vt:i4>5</vt:i4>
      </vt:variant>
      <vt:variant>
        <vt:lpwstr/>
      </vt:variant>
      <vt:variant>
        <vt:lpwstr>_Toc466560910</vt:lpwstr>
      </vt:variant>
      <vt:variant>
        <vt:i4>1310781</vt:i4>
      </vt:variant>
      <vt:variant>
        <vt:i4>746</vt:i4>
      </vt:variant>
      <vt:variant>
        <vt:i4>0</vt:i4>
      </vt:variant>
      <vt:variant>
        <vt:i4>5</vt:i4>
      </vt:variant>
      <vt:variant>
        <vt:lpwstr/>
      </vt:variant>
      <vt:variant>
        <vt:lpwstr>_Toc466560909</vt:lpwstr>
      </vt:variant>
      <vt:variant>
        <vt:i4>1310781</vt:i4>
      </vt:variant>
      <vt:variant>
        <vt:i4>740</vt:i4>
      </vt:variant>
      <vt:variant>
        <vt:i4>0</vt:i4>
      </vt:variant>
      <vt:variant>
        <vt:i4>5</vt:i4>
      </vt:variant>
      <vt:variant>
        <vt:lpwstr/>
      </vt:variant>
      <vt:variant>
        <vt:lpwstr>_Toc466560908</vt:lpwstr>
      </vt:variant>
      <vt:variant>
        <vt:i4>1310781</vt:i4>
      </vt:variant>
      <vt:variant>
        <vt:i4>734</vt:i4>
      </vt:variant>
      <vt:variant>
        <vt:i4>0</vt:i4>
      </vt:variant>
      <vt:variant>
        <vt:i4>5</vt:i4>
      </vt:variant>
      <vt:variant>
        <vt:lpwstr/>
      </vt:variant>
      <vt:variant>
        <vt:lpwstr>_Toc466560907</vt:lpwstr>
      </vt:variant>
      <vt:variant>
        <vt:i4>1310781</vt:i4>
      </vt:variant>
      <vt:variant>
        <vt:i4>728</vt:i4>
      </vt:variant>
      <vt:variant>
        <vt:i4>0</vt:i4>
      </vt:variant>
      <vt:variant>
        <vt:i4>5</vt:i4>
      </vt:variant>
      <vt:variant>
        <vt:lpwstr/>
      </vt:variant>
      <vt:variant>
        <vt:lpwstr>_Toc466560906</vt:lpwstr>
      </vt:variant>
      <vt:variant>
        <vt:i4>1310781</vt:i4>
      </vt:variant>
      <vt:variant>
        <vt:i4>722</vt:i4>
      </vt:variant>
      <vt:variant>
        <vt:i4>0</vt:i4>
      </vt:variant>
      <vt:variant>
        <vt:i4>5</vt:i4>
      </vt:variant>
      <vt:variant>
        <vt:lpwstr/>
      </vt:variant>
      <vt:variant>
        <vt:lpwstr>_Toc466560905</vt:lpwstr>
      </vt:variant>
      <vt:variant>
        <vt:i4>1310781</vt:i4>
      </vt:variant>
      <vt:variant>
        <vt:i4>716</vt:i4>
      </vt:variant>
      <vt:variant>
        <vt:i4>0</vt:i4>
      </vt:variant>
      <vt:variant>
        <vt:i4>5</vt:i4>
      </vt:variant>
      <vt:variant>
        <vt:lpwstr/>
      </vt:variant>
      <vt:variant>
        <vt:lpwstr>_Toc466560904</vt:lpwstr>
      </vt:variant>
      <vt:variant>
        <vt:i4>1310781</vt:i4>
      </vt:variant>
      <vt:variant>
        <vt:i4>710</vt:i4>
      </vt:variant>
      <vt:variant>
        <vt:i4>0</vt:i4>
      </vt:variant>
      <vt:variant>
        <vt:i4>5</vt:i4>
      </vt:variant>
      <vt:variant>
        <vt:lpwstr/>
      </vt:variant>
      <vt:variant>
        <vt:lpwstr>_Toc466560903</vt:lpwstr>
      </vt:variant>
      <vt:variant>
        <vt:i4>1310781</vt:i4>
      </vt:variant>
      <vt:variant>
        <vt:i4>704</vt:i4>
      </vt:variant>
      <vt:variant>
        <vt:i4>0</vt:i4>
      </vt:variant>
      <vt:variant>
        <vt:i4>5</vt:i4>
      </vt:variant>
      <vt:variant>
        <vt:lpwstr/>
      </vt:variant>
      <vt:variant>
        <vt:lpwstr>_Toc466560902</vt:lpwstr>
      </vt:variant>
      <vt:variant>
        <vt:i4>1310781</vt:i4>
      </vt:variant>
      <vt:variant>
        <vt:i4>698</vt:i4>
      </vt:variant>
      <vt:variant>
        <vt:i4>0</vt:i4>
      </vt:variant>
      <vt:variant>
        <vt:i4>5</vt:i4>
      </vt:variant>
      <vt:variant>
        <vt:lpwstr/>
      </vt:variant>
      <vt:variant>
        <vt:lpwstr>_Toc466560901</vt:lpwstr>
      </vt:variant>
      <vt:variant>
        <vt:i4>1310781</vt:i4>
      </vt:variant>
      <vt:variant>
        <vt:i4>692</vt:i4>
      </vt:variant>
      <vt:variant>
        <vt:i4>0</vt:i4>
      </vt:variant>
      <vt:variant>
        <vt:i4>5</vt:i4>
      </vt:variant>
      <vt:variant>
        <vt:lpwstr/>
      </vt:variant>
      <vt:variant>
        <vt:lpwstr>_Toc466560900</vt:lpwstr>
      </vt:variant>
      <vt:variant>
        <vt:i4>1900604</vt:i4>
      </vt:variant>
      <vt:variant>
        <vt:i4>686</vt:i4>
      </vt:variant>
      <vt:variant>
        <vt:i4>0</vt:i4>
      </vt:variant>
      <vt:variant>
        <vt:i4>5</vt:i4>
      </vt:variant>
      <vt:variant>
        <vt:lpwstr/>
      </vt:variant>
      <vt:variant>
        <vt:lpwstr>_Toc466560899</vt:lpwstr>
      </vt:variant>
      <vt:variant>
        <vt:i4>1900604</vt:i4>
      </vt:variant>
      <vt:variant>
        <vt:i4>680</vt:i4>
      </vt:variant>
      <vt:variant>
        <vt:i4>0</vt:i4>
      </vt:variant>
      <vt:variant>
        <vt:i4>5</vt:i4>
      </vt:variant>
      <vt:variant>
        <vt:lpwstr/>
      </vt:variant>
      <vt:variant>
        <vt:lpwstr>_Toc466560898</vt:lpwstr>
      </vt:variant>
      <vt:variant>
        <vt:i4>1900604</vt:i4>
      </vt:variant>
      <vt:variant>
        <vt:i4>674</vt:i4>
      </vt:variant>
      <vt:variant>
        <vt:i4>0</vt:i4>
      </vt:variant>
      <vt:variant>
        <vt:i4>5</vt:i4>
      </vt:variant>
      <vt:variant>
        <vt:lpwstr/>
      </vt:variant>
      <vt:variant>
        <vt:lpwstr>_Toc466560897</vt:lpwstr>
      </vt:variant>
      <vt:variant>
        <vt:i4>1900604</vt:i4>
      </vt:variant>
      <vt:variant>
        <vt:i4>668</vt:i4>
      </vt:variant>
      <vt:variant>
        <vt:i4>0</vt:i4>
      </vt:variant>
      <vt:variant>
        <vt:i4>5</vt:i4>
      </vt:variant>
      <vt:variant>
        <vt:lpwstr/>
      </vt:variant>
      <vt:variant>
        <vt:lpwstr>_Toc466560896</vt:lpwstr>
      </vt:variant>
      <vt:variant>
        <vt:i4>1900604</vt:i4>
      </vt:variant>
      <vt:variant>
        <vt:i4>662</vt:i4>
      </vt:variant>
      <vt:variant>
        <vt:i4>0</vt:i4>
      </vt:variant>
      <vt:variant>
        <vt:i4>5</vt:i4>
      </vt:variant>
      <vt:variant>
        <vt:lpwstr/>
      </vt:variant>
      <vt:variant>
        <vt:lpwstr>_Toc466560895</vt:lpwstr>
      </vt:variant>
      <vt:variant>
        <vt:i4>1900604</vt:i4>
      </vt:variant>
      <vt:variant>
        <vt:i4>656</vt:i4>
      </vt:variant>
      <vt:variant>
        <vt:i4>0</vt:i4>
      </vt:variant>
      <vt:variant>
        <vt:i4>5</vt:i4>
      </vt:variant>
      <vt:variant>
        <vt:lpwstr/>
      </vt:variant>
      <vt:variant>
        <vt:lpwstr>_Toc466560894</vt:lpwstr>
      </vt:variant>
      <vt:variant>
        <vt:i4>1900604</vt:i4>
      </vt:variant>
      <vt:variant>
        <vt:i4>650</vt:i4>
      </vt:variant>
      <vt:variant>
        <vt:i4>0</vt:i4>
      </vt:variant>
      <vt:variant>
        <vt:i4>5</vt:i4>
      </vt:variant>
      <vt:variant>
        <vt:lpwstr/>
      </vt:variant>
      <vt:variant>
        <vt:lpwstr>_Toc466560893</vt:lpwstr>
      </vt:variant>
      <vt:variant>
        <vt:i4>1900604</vt:i4>
      </vt:variant>
      <vt:variant>
        <vt:i4>644</vt:i4>
      </vt:variant>
      <vt:variant>
        <vt:i4>0</vt:i4>
      </vt:variant>
      <vt:variant>
        <vt:i4>5</vt:i4>
      </vt:variant>
      <vt:variant>
        <vt:lpwstr/>
      </vt:variant>
      <vt:variant>
        <vt:lpwstr>_Toc466560892</vt:lpwstr>
      </vt:variant>
      <vt:variant>
        <vt:i4>1900604</vt:i4>
      </vt:variant>
      <vt:variant>
        <vt:i4>638</vt:i4>
      </vt:variant>
      <vt:variant>
        <vt:i4>0</vt:i4>
      </vt:variant>
      <vt:variant>
        <vt:i4>5</vt:i4>
      </vt:variant>
      <vt:variant>
        <vt:lpwstr/>
      </vt:variant>
      <vt:variant>
        <vt:lpwstr>_Toc466560891</vt:lpwstr>
      </vt:variant>
      <vt:variant>
        <vt:i4>1900604</vt:i4>
      </vt:variant>
      <vt:variant>
        <vt:i4>632</vt:i4>
      </vt:variant>
      <vt:variant>
        <vt:i4>0</vt:i4>
      </vt:variant>
      <vt:variant>
        <vt:i4>5</vt:i4>
      </vt:variant>
      <vt:variant>
        <vt:lpwstr/>
      </vt:variant>
      <vt:variant>
        <vt:lpwstr>_Toc466560890</vt:lpwstr>
      </vt:variant>
      <vt:variant>
        <vt:i4>1835068</vt:i4>
      </vt:variant>
      <vt:variant>
        <vt:i4>626</vt:i4>
      </vt:variant>
      <vt:variant>
        <vt:i4>0</vt:i4>
      </vt:variant>
      <vt:variant>
        <vt:i4>5</vt:i4>
      </vt:variant>
      <vt:variant>
        <vt:lpwstr/>
      </vt:variant>
      <vt:variant>
        <vt:lpwstr>_Toc466560889</vt:lpwstr>
      </vt:variant>
      <vt:variant>
        <vt:i4>1835068</vt:i4>
      </vt:variant>
      <vt:variant>
        <vt:i4>620</vt:i4>
      </vt:variant>
      <vt:variant>
        <vt:i4>0</vt:i4>
      </vt:variant>
      <vt:variant>
        <vt:i4>5</vt:i4>
      </vt:variant>
      <vt:variant>
        <vt:lpwstr/>
      </vt:variant>
      <vt:variant>
        <vt:lpwstr>_Toc466560888</vt:lpwstr>
      </vt:variant>
      <vt:variant>
        <vt:i4>1835068</vt:i4>
      </vt:variant>
      <vt:variant>
        <vt:i4>614</vt:i4>
      </vt:variant>
      <vt:variant>
        <vt:i4>0</vt:i4>
      </vt:variant>
      <vt:variant>
        <vt:i4>5</vt:i4>
      </vt:variant>
      <vt:variant>
        <vt:lpwstr/>
      </vt:variant>
      <vt:variant>
        <vt:lpwstr>_Toc466560887</vt:lpwstr>
      </vt:variant>
      <vt:variant>
        <vt:i4>1835068</vt:i4>
      </vt:variant>
      <vt:variant>
        <vt:i4>608</vt:i4>
      </vt:variant>
      <vt:variant>
        <vt:i4>0</vt:i4>
      </vt:variant>
      <vt:variant>
        <vt:i4>5</vt:i4>
      </vt:variant>
      <vt:variant>
        <vt:lpwstr/>
      </vt:variant>
      <vt:variant>
        <vt:lpwstr>_Toc466560886</vt:lpwstr>
      </vt:variant>
      <vt:variant>
        <vt:i4>1835068</vt:i4>
      </vt:variant>
      <vt:variant>
        <vt:i4>602</vt:i4>
      </vt:variant>
      <vt:variant>
        <vt:i4>0</vt:i4>
      </vt:variant>
      <vt:variant>
        <vt:i4>5</vt:i4>
      </vt:variant>
      <vt:variant>
        <vt:lpwstr/>
      </vt:variant>
      <vt:variant>
        <vt:lpwstr>_Toc466560885</vt:lpwstr>
      </vt:variant>
      <vt:variant>
        <vt:i4>1835068</vt:i4>
      </vt:variant>
      <vt:variant>
        <vt:i4>596</vt:i4>
      </vt:variant>
      <vt:variant>
        <vt:i4>0</vt:i4>
      </vt:variant>
      <vt:variant>
        <vt:i4>5</vt:i4>
      </vt:variant>
      <vt:variant>
        <vt:lpwstr/>
      </vt:variant>
      <vt:variant>
        <vt:lpwstr>_Toc466560884</vt:lpwstr>
      </vt:variant>
      <vt:variant>
        <vt:i4>1835068</vt:i4>
      </vt:variant>
      <vt:variant>
        <vt:i4>590</vt:i4>
      </vt:variant>
      <vt:variant>
        <vt:i4>0</vt:i4>
      </vt:variant>
      <vt:variant>
        <vt:i4>5</vt:i4>
      </vt:variant>
      <vt:variant>
        <vt:lpwstr/>
      </vt:variant>
      <vt:variant>
        <vt:lpwstr>_Toc466560883</vt:lpwstr>
      </vt:variant>
      <vt:variant>
        <vt:i4>1835068</vt:i4>
      </vt:variant>
      <vt:variant>
        <vt:i4>584</vt:i4>
      </vt:variant>
      <vt:variant>
        <vt:i4>0</vt:i4>
      </vt:variant>
      <vt:variant>
        <vt:i4>5</vt:i4>
      </vt:variant>
      <vt:variant>
        <vt:lpwstr/>
      </vt:variant>
      <vt:variant>
        <vt:lpwstr>_Toc466560882</vt:lpwstr>
      </vt:variant>
      <vt:variant>
        <vt:i4>1835068</vt:i4>
      </vt:variant>
      <vt:variant>
        <vt:i4>578</vt:i4>
      </vt:variant>
      <vt:variant>
        <vt:i4>0</vt:i4>
      </vt:variant>
      <vt:variant>
        <vt:i4>5</vt:i4>
      </vt:variant>
      <vt:variant>
        <vt:lpwstr/>
      </vt:variant>
      <vt:variant>
        <vt:lpwstr>_Toc466560881</vt:lpwstr>
      </vt:variant>
      <vt:variant>
        <vt:i4>1835068</vt:i4>
      </vt:variant>
      <vt:variant>
        <vt:i4>572</vt:i4>
      </vt:variant>
      <vt:variant>
        <vt:i4>0</vt:i4>
      </vt:variant>
      <vt:variant>
        <vt:i4>5</vt:i4>
      </vt:variant>
      <vt:variant>
        <vt:lpwstr/>
      </vt:variant>
      <vt:variant>
        <vt:lpwstr>_Toc466560880</vt:lpwstr>
      </vt:variant>
      <vt:variant>
        <vt:i4>1245244</vt:i4>
      </vt:variant>
      <vt:variant>
        <vt:i4>566</vt:i4>
      </vt:variant>
      <vt:variant>
        <vt:i4>0</vt:i4>
      </vt:variant>
      <vt:variant>
        <vt:i4>5</vt:i4>
      </vt:variant>
      <vt:variant>
        <vt:lpwstr/>
      </vt:variant>
      <vt:variant>
        <vt:lpwstr>_Toc466560879</vt:lpwstr>
      </vt:variant>
      <vt:variant>
        <vt:i4>1245244</vt:i4>
      </vt:variant>
      <vt:variant>
        <vt:i4>560</vt:i4>
      </vt:variant>
      <vt:variant>
        <vt:i4>0</vt:i4>
      </vt:variant>
      <vt:variant>
        <vt:i4>5</vt:i4>
      </vt:variant>
      <vt:variant>
        <vt:lpwstr/>
      </vt:variant>
      <vt:variant>
        <vt:lpwstr>_Toc466560878</vt:lpwstr>
      </vt:variant>
      <vt:variant>
        <vt:i4>1245244</vt:i4>
      </vt:variant>
      <vt:variant>
        <vt:i4>554</vt:i4>
      </vt:variant>
      <vt:variant>
        <vt:i4>0</vt:i4>
      </vt:variant>
      <vt:variant>
        <vt:i4>5</vt:i4>
      </vt:variant>
      <vt:variant>
        <vt:lpwstr/>
      </vt:variant>
      <vt:variant>
        <vt:lpwstr>_Toc466560877</vt:lpwstr>
      </vt:variant>
      <vt:variant>
        <vt:i4>1245244</vt:i4>
      </vt:variant>
      <vt:variant>
        <vt:i4>548</vt:i4>
      </vt:variant>
      <vt:variant>
        <vt:i4>0</vt:i4>
      </vt:variant>
      <vt:variant>
        <vt:i4>5</vt:i4>
      </vt:variant>
      <vt:variant>
        <vt:lpwstr/>
      </vt:variant>
      <vt:variant>
        <vt:lpwstr>_Toc466560876</vt:lpwstr>
      </vt:variant>
      <vt:variant>
        <vt:i4>1245244</vt:i4>
      </vt:variant>
      <vt:variant>
        <vt:i4>542</vt:i4>
      </vt:variant>
      <vt:variant>
        <vt:i4>0</vt:i4>
      </vt:variant>
      <vt:variant>
        <vt:i4>5</vt:i4>
      </vt:variant>
      <vt:variant>
        <vt:lpwstr/>
      </vt:variant>
      <vt:variant>
        <vt:lpwstr>_Toc466560875</vt:lpwstr>
      </vt:variant>
      <vt:variant>
        <vt:i4>1245244</vt:i4>
      </vt:variant>
      <vt:variant>
        <vt:i4>536</vt:i4>
      </vt:variant>
      <vt:variant>
        <vt:i4>0</vt:i4>
      </vt:variant>
      <vt:variant>
        <vt:i4>5</vt:i4>
      </vt:variant>
      <vt:variant>
        <vt:lpwstr/>
      </vt:variant>
      <vt:variant>
        <vt:lpwstr>_Toc466560874</vt:lpwstr>
      </vt:variant>
      <vt:variant>
        <vt:i4>1245244</vt:i4>
      </vt:variant>
      <vt:variant>
        <vt:i4>530</vt:i4>
      </vt:variant>
      <vt:variant>
        <vt:i4>0</vt:i4>
      </vt:variant>
      <vt:variant>
        <vt:i4>5</vt:i4>
      </vt:variant>
      <vt:variant>
        <vt:lpwstr/>
      </vt:variant>
      <vt:variant>
        <vt:lpwstr>_Toc466560873</vt:lpwstr>
      </vt:variant>
      <vt:variant>
        <vt:i4>1245244</vt:i4>
      </vt:variant>
      <vt:variant>
        <vt:i4>524</vt:i4>
      </vt:variant>
      <vt:variant>
        <vt:i4>0</vt:i4>
      </vt:variant>
      <vt:variant>
        <vt:i4>5</vt:i4>
      </vt:variant>
      <vt:variant>
        <vt:lpwstr/>
      </vt:variant>
      <vt:variant>
        <vt:lpwstr>_Toc466560872</vt:lpwstr>
      </vt:variant>
      <vt:variant>
        <vt:i4>1245244</vt:i4>
      </vt:variant>
      <vt:variant>
        <vt:i4>518</vt:i4>
      </vt:variant>
      <vt:variant>
        <vt:i4>0</vt:i4>
      </vt:variant>
      <vt:variant>
        <vt:i4>5</vt:i4>
      </vt:variant>
      <vt:variant>
        <vt:lpwstr/>
      </vt:variant>
      <vt:variant>
        <vt:lpwstr>_Toc466560871</vt:lpwstr>
      </vt:variant>
      <vt:variant>
        <vt:i4>1245244</vt:i4>
      </vt:variant>
      <vt:variant>
        <vt:i4>512</vt:i4>
      </vt:variant>
      <vt:variant>
        <vt:i4>0</vt:i4>
      </vt:variant>
      <vt:variant>
        <vt:i4>5</vt:i4>
      </vt:variant>
      <vt:variant>
        <vt:lpwstr/>
      </vt:variant>
      <vt:variant>
        <vt:lpwstr>_Toc466560870</vt:lpwstr>
      </vt:variant>
      <vt:variant>
        <vt:i4>1179708</vt:i4>
      </vt:variant>
      <vt:variant>
        <vt:i4>506</vt:i4>
      </vt:variant>
      <vt:variant>
        <vt:i4>0</vt:i4>
      </vt:variant>
      <vt:variant>
        <vt:i4>5</vt:i4>
      </vt:variant>
      <vt:variant>
        <vt:lpwstr/>
      </vt:variant>
      <vt:variant>
        <vt:lpwstr>_Toc466560869</vt:lpwstr>
      </vt:variant>
      <vt:variant>
        <vt:i4>1179708</vt:i4>
      </vt:variant>
      <vt:variant>
        <vt:i4>500</vt:i4>
      </vt:variant>
      <vt:variant>
        <vt:i4>0</vt:i4>
      </vt:variant>
      <vt:variant>
        <vt:i4>5</vt:i4>
      </vt:variant>
      <vt:variant>
        <vt:lpwstr/>
      </vt:variant>
      <vt:variant>
        <vt:lpwstr>_Toc466560868</vt:lpwstr>
      </vt:variant>
      <vt:variant>
        <vt:i4>1179708</vt:i4>
      </vt:variant>
      <vt:variant>
        <vt:i4>494</vt:i4>
      </vt:variant>
      <vt:variant>
        <vt:i4>0</vt:i4>
      </vt:variant>
      <vt:variant>
        <vt:i4>5</vt:i4>
      </vt:variant>
      <vt:variant>
        <vt:lpwstr/>
      </vt:variant>
      <vt:variant>
        <vt:lpwstr>_Toc466560867</vt:lpwstr>
      </vt:variant>
      <vt:variant>
        <vt:i4>1179708</vt:i4>
      </vt:variant>
      <vt:variant>
        <vt:i4>488</vt:i4>
      </vt:variant>
      <vt:variant>
        <vt:i4>0</vt:i4>
      </vt:variant>
      <vt:variant>
        <vt:i4>5</vt:i4>
      </vt:variant>
      <vt:variant>
        <vt:lpwstr/>
      </vt:variant>
      <vt:variant>
        <vt:lpwstr>_Toc466560866</vt:lpwstr>
      </vt:variant>
      <vt:variant>
        <vt:i4>1179708</vt:i4>
      </vt:variant>
      <vt:variant>
        <vt:i4>482</vt:i4>
      </vt:variant>
      <vt:variant>
        <vt:i4>0</vt:i4>
      </vt:variant>
      <vt:variant>
        <vt:i4>5</vt:i4>
      </vt:variant>
      <vt:variant>
        <vt:lpwstr/>
      </vt:variant>
      <vt:variant>
        <vt:lpwstr>_Toc466560865</vt:lpwstr>
      </vt:variant>
      <vt:variant>
        <vt:i4>1179708</vt:i4>
      </vt:variant>
      <vt:variant>
        <vt:i4>476</vt:i4>
      </vt:variant>
      <vt:variant>
        <vt:i4>0</vt:i4>
      </vt:variant>
      <vt:variant>
        <vt:i4>5</vt:i4>
      </vt:variant>
      <vt:variant>
        <vt:lpwstr/>
      </vt:variant>
      <vt:variant>
        <vt:lpwstr>_Toc466560864</vt:lpwstr>
      </vt:variant>
      <vt:variant>
        <vt:i4>1179708</vt:i4>
      </vt:variant>
      <vt:variant>
        <vt:i4>470</vt:i4>
      </vt:variant>
      <vt:variant>
        <vt:i4>0</vt:i4>
      </vt:variant>
      <vt:variant>
        <vt:i4>5</vt:i4>
      </vt:variant>
      <vt:variant>
        <vt:lpwstr/>
      </vt:variant>
      <vt:variant>
        <vt:lpwstr>_Toc466560863</vt:lpwstr>
      </vt:variant>
      <vt:variant>
        <vt:i4>1179708</vt:i4>
      </vt:variant>
      <vt:variant>
        <vt:i4>464</vt:i4>
      </vt:variant>
      <vt:variant>
        <vt:i4>0</vt:i4>
      </vt:variant>
      <vt:variant>
        <vt:i4>5</vt:i4>
      </vt:variant>
      <vt:variant>
        <vt:lpwstr/>
      </vt:variant>
      <vt:variant>
        <vt:lpwstr>_Toc466560862</vt:lpwstr>
      </vt:variant>
      <vt:variant>
        <vt:i4>1179708</vt:i4>
      </vt:variant>
      <vt:variant>
        <vt:i4>458</vt:i4>
      </vt:variant>
      <vt:variant>
        <vt:i4>0</vt:i4>
      </vt:variant>
      <vt:variant>
        <vt:i4>5</vt:i4>
      </vt:variant>
      <vt:variant>
        <vt:lpwstr/>
      </vt:variant>
      <vt:variant>
        <vt:lpwstr>_Toc466560861</vt:lpwstr>
      </vt:variant>
      <vt:variant>
        <vt:i4>1048636</vt:i4>
      </vt:variant>
      <vt:variant>
        <vt:i4>452</vt:i4>
      </vt:variant>
      <vt:variant>
        <vt:i4>0</vt:i4>
      </vt:variant>
      <vt:variant>
        <vt:i4>5</vt:i4>
      </vt:variant>
      <vt:variant>
        <vt:lpwstr/>
      </vt:variant>
      <vt:variant>
        <vt:lpwstr>_Toc466560846</vt:lpwstr>
      </vt:variant>
      <vt:variant>
        <vt:i4>1048636</vt:i4>
      </vt:variant>
      <vt:variant>
        <vt:i4>446</vt:i4>
      </vt:variant>
      <vt:variant>
        <vt:i4>0</vt:i4>
      </vt:variant>
      <vt:variant>
        <vt:i4>5</vt:i4>
      </vt:variant>
      <vt:variant>
        <vt:lpwstr/>
      </vt:variant>
      <vt:variant>
        <vt:lpwstr>_Toc466560845</vt:lpwstr>
      </vt:variant>
      <vt:variant>
        <vt:i4>1048636</vt:i4>
      </vt:variant>
      <vt:variant>
        <vt:i4>440</vt:i4>
      </vt:variant>
      <vt:variant>
        <vt:i4>0</vt:i4>
      </vt:variant>
      <vt:variant>
        <vt:i4>5</vt:i4>
      </vt:variant>
      <vt:variant>
        <vt:lpwstr/>
      </vt:variant>
      <vt:variant>
        <vt:lpwstr>_Toc466560844</vt:lpwstr>
      </vt:variant>
      <vt:variant>
        <vt:i4>1048636</vt:i4>
      </vt:variant>
      <vt:variant>
        <vt:i4>434</vt:i4>
      </vt:variant>
      <vt:variant>
        <vt:i4>0</vt:i4>
      </vt:variant>
      <vt:variant>
        <vt:i4>5</vt:i4>
      </vt:variant>
      <vt:variant>
        <vt:lpwstr/>
      </vt:variant>
      <vt:variant>
        <vt:lpwstr>_Toc466560843</vt:lpwstr>
      </vt:variant>
      <vt:variant>
        <vt:i4>1048636</vt:i4>
      </vt:variant>
      <vt:variant>
        <vt:i4>428</vt:i4>
      </vt:variant>
      <vt:variant>
        <vt:i4>0</vt:i4>
      </vt:variant>
      <vt:variant>
        <vt:i4>5</vt:i4>
      </vt:variant>
      <vt:variant>
        <vt:lpwstr/>
      </vt:variant>
      <vt:variant>
        <vt:lpwstr>_Toc466560842</vt:lpwstr>
      </vt:variant>
      <vt:variant>
        <vt:i4>1048636</vt:i4>
      </vt:variant>
      <vt:variant>
        <vt:i4>422</vt:i4>
      </vt:variant>
      <vt:variant>
        <vt:i4>0</vt:i4>
      </vt:variant>
      <vt:variant>
        <vt:i4>5</vt:i4>
      </vt:variant>
      <vt:variant>
        <vt:lpwstr/>
      </vt:variant>
      <vt:variant>
        <vt:lpwstr>_Toc466560841</vt:lpwstr>
      </vt:variant>
      <vt:variant>
        <vt:i4>1048636</vt:i4>
      </vt:variant>
      <vt:variant>
        <vt:i4>416</vt:i4>
      </vt:variant>
      <vt:variant>
        <vt:i4>0</vt:i4>
      </vt:variant>
      <vt:variant>
        <vt:i4>5</vt:i4>
      </vt:variant>
      <vt:variant>
        <vt:lpwstr/>
      </vt:variant>
      <vt:variant>
        <vt:lpwstr>_Toc466560840</vt:lpwstr>
      </vt:variant>
      <vt:variant>
        <vt:i4>1507388</vt:i4>
      </vt:variant>
      <vt:variant>
        <vt:i4>410</vt:i4>
      </vt:variant>
      <vt:variant>
        <vt:i4>0</vt:i4>
      </vt:variant>
      <vt:variant>
        <vt:i4>5</vt:i4>
      </vt:variant>
      <vt:variant>
        <vt:lpwstr/>
      </vt:variant>
      <vt:variant>
        <vt:lpwstr>_Toc466560839</vt:lpwstr>
      </vt:variant>
      <vt:variant>
        <vt:i4>1507388</vt:i4>
      </vt:variant>
      <vt:variant>
        <vt:i4>404</vt:i4>
      </vt:variant>
      <vt:variant>
        <vt:i4>0</vt:i4>
      </vt:variant>
      <vt:variant>
        <vt:i4>5</vt:i4>
      </vt:variant>
      <vt:variant>
        <vt:lpwstr/>
      </vt:variant>
      <vt:variant>
        <vt:lpwstr>_Toc466560838</vt:lpwstr>
      </vt:variant>
      <vt:variant>
        <vt:i4>1507388</vt:i4>
      </vt:variant>
      <vt:variant>
        <vt:i4>398</vt:i4>
      </vt:variant>
      <vt:variant>
        <vt:i4>0</vt:i4>
      </vt:variant>
      <vt:variant>
        <vt:i4>5</vt:i4>
      </vt:variant>
      <vt:variant>
        <vt:lpwstr/>
      </vt:variant>
      <vt:variant>
        <vt:lpwstr>_Toc466560837</vt:lpwstr>
      </vt:variant>
      <vt:variant>
        <vt:i4>1507388</vt:i4>
      </vt:variant>
      <vt:variant>
        <vt:i4>392</vt:i4>
      </vt:variant>
      <vt:variant>
        <vt:i4>0</vt:i4>
      </vt:variant>
      <vt:variant>
        <vt:i4>5</vt:i4>
      </vt:variant>
      <vt:variant>
        <vt:lpwstr/>
      </vt:variant>
      <vt:variant>
        <vt:lpwstr>_Toc466560836</vt:lpwstr>
      </vt:variant>
      <vt:variant>
        <vt:i4>1507388</vt:i4>
      </vt:variant>
      <vt:variant>
        <vt:i4>386</vt:i4>
      </vt:variant>
      <vt:variant>
        <vt:i4>0</vt:i4>
      </vt:variant>
      <vt:variant>
        <vt:i4>5</vt:i4>
      </vt:variant>
      <vt:variant>
        <vt:lpwstr/>
      </vt:variant>
      <vt:variant>
        <vt:lpwstr>_Toc466560833</vt:lpwstr>
      </vt:variant>
      <vt:variant>
        <vt:i4>1507388</vt:i4>
      </vt:variant>
      <vt:variant>
        <vt:i4>380</vt:i4>
      </vt:variant>
      <vt:variant>
        <vt:i4>0</vt:i4>
      </vt:variant>
      <vt:variant>
        <vt:i4>5</vt:i4>
      </vt:variant>
      <vt:variant>
        <vt:lpwstr/>
      </vt:variant>
      <vt:variant>
        <vt:lpwstr>_Toc466560832</vt:lpwstr>
      </vt:variant>
      <vt:variant>
        <vt:i4>1507388</vt:i4>
      </vt:variant>
      <vt:variant>
        <vt:i4>374</vt:i4>
      </vt:variant>
      <vt:variant>
        <vt:i4>0</vt:i4>
      </vt:variant>
      <vt:variant>
        <vt:i4>5</vt:i4>
      </vt:variant>
      <vt:variant>
        <vt:lpwstr/>
      </vt:variant>
      <vt:variant>
        <vt:lpwstr>_Toc466560831</vt:lpwstr>
      </vt:variant>
      <vt:variant>
        <vt:i4>1507388</vt:i4>
      </vt:variant>
      <vt:variant>
        <vt:i4>368</vt:i4>
      </vt:variant>
      <vt:variant>
        <vt:i4>0</vt:i4>
      </vt:variant>
      <vt:variant>
        <vt:i4>5</vt:i4>
      </vt:variant>
      <vt:variant>
        <vt:lpwstr/>
      </vt:variant>
      <vt:variant>
        <vt:lpwstr>_Toc466560830</vt:lpwstr>
      </vt:variant>
      <vt:variant>
        <vt:i4>1441852</vt:i4>
      </vt:variant>
      <vt:variant>
        <vt:i4>362</vt:i4>
      </vt:variant>
      <vt:variant>
        <vt:i4>0</vt:i4>
      </vt:variant>
      <vt:variant>
        <vt:i4>5</vt:i4>
      </vt:variant>
      <vt:variant>
        <vt:lpwstr/>
      </vt:variant>
      <vt:variant>
        <vt:lpwstr>_Toc466560829</vt:lpwstr>
      </vt:variant>
      <vt:variant>
        <vt:i4>1441852</vt:i4>
      </vt:variant>
      <vt:variant>
        <vt:i4>356</vt:i4>
      </vt:variant>
      <vt:variant>
        <vt:i4>0</vt:i4>
      </vt:variant>
      <vt:variant>
        <vt:i4>5</vt:i4>
      </vt:variant>
      <vt:variant>
        <vt:lpwstr/>
      </vt:variant>
      <vt:variant>
        <vt:lpwstr>_Toc466560828</vt:lpwstr>
      </vt:variant>
      <vt:variant>
        <vt:i4>1441852</vt:i4>
      </vt:variant>
      <vt:variant>
        <vt:i4>350</vt:i4>
      </vt:variant>
      <vt:variant>
        <vt:i4>0</vt:i4>
      </vt:variant>
      <vt:variant>
        <vt:i4>5</vt:i4>
      </vt:variant>
      <vt:variant>
        <vt:lpwstr/>
      </vt:variant>
      <vt:variant>
        <vt:lpwstr>_Toc466560827</vt:lpwstr>
      </vt:variant>
      <vt:variant>
        <vt:i4>1441852</vt:i4>
      </vt:variant>
      <vt:variant>
        <vt:i4>344</vt:i4>
      </vt:variant>
      <vt:variant>
        <vt:i4>0</vt:i4>
      </vt:variant>
      <vt:variant>
        <vt:i4>5</vt:i4>
      </vt:variant>
      <vt:variant>
        <vt:lpwstr/>
      </vt:variant>
      <vt:variant>
        <vt:lpwstr>_Toc466560826</vt:lpwstr>
      </vt:variant>
      <vt:variant>
        <vt:i4>1441852</vt:i4>
      </vt:variant>
      <vt:variant>
        <vt:i4>338</vt:i4>
      </vt:variant>
      <vt:variant>
        <vt:i4>0</vt:i4>
      </vt:variant>
      <vt:variant>
        <vt:i4>5</vt:i4>
      </vt:variant>
      <vt:variant>
        <vt:lpwstr/>
      </vt:variant>
      <vt:variant>
        <vt:lpwstr>_Toc466560825</vt:lpwstr>
      </vt:variant>
      <vt:variant>
        <vt:i4>1441852</vt:i4>
      </vt:variant>
      <vt:variant>
        <vt:i4>332</vt:i4>
      </vt:variant>
      <vt:variant>
        <vt:i4>0</vt:i4>
      </vt:variant>
      <vt:variant>
        <vt:i4>5</vt:i4>
      </vt:variant>
      <vt:variant>
        <vt:lpwstr/>
      </vt:variant>
      <vt:variant>
        <vt:lpwstr>_Toc466560824</vt:lpwstr>
      </vt:variant>
      <vt:variant>
        <vt:i4>1441852</vt:i4>
      </vt:variant>
      <vt:variant>
        <vt:i4>326</vt:i4>
      </vt:variant>
      <vt:variant>
        <vt:i4>0</vt:i4>
      </vt:variant>
      <vt:variant>
        <vt:i4>5</vt:i4>
      </vt:variant>
      <vt:variant>
        <vt:lpwstr/>
      </vt:variant>
      <vt:variant>
        <vt:lpwstr>_Toc466560823</vt:lpwstr>
      </vt:variant>
      <vt:variant>
        <vt:i4>1441852</vt:i4>
      </vt:variant>
      <vt:variant>
        <vt:i4>320</vt:i4>
      </vt:variant>
      <vt:variant>
        <vt:i4>0</vt:i4>
      </vt:variant>
      <vt:variant>
        <vt:i4>5</vt:i4>
      </vt:variant>
      <vt:variant>
        <vt:lpwstr/>
      </vt:variant>
      <vt:variant>
        <vt:lpwstr>_Toc466560822</vt:lpwstr>
      </vt:variant>
      <vt:variant>
        <vt:i4>1441852</vt:i4>
      </vt:variant>
      <vt:variant>
        <vt:i4>314</vt:i4>
      </vt:variant>
      <vt:variant>
        <vt:i4>0</vt:i4>
      </vt:variant>
      <vt:variant>
        <vt:i4>5</vt:i4>
      </vt:variant>
      <vt:variant>
        <vt:lpwstr/>
      </vt:variant>
      <vt:variant>
        <vt:lpwstr>_Toc466560821</vt:lpwstr>
      </vt:variant>
      <vt:variant>
        <vt:i4>1441852</vt:i4>
      </vt:variant>
      <vt:variant>
        <vt:i4>308</vt:i4>
      </vt:variant>
      <vt:variant>
        <vt:i4>0</vt:i4>
      </vt:variant>
      <vt:variant>
        <vt:i4>5</vt:i4>
      </vt:variant>
      <vt:variant>
        <vt:lpwstr/>
      </vt:variant>
      <vt:variant>
        <vt:lpwstr>_Toc466560820</vt:lpwstr>
      </vt:variant>
      <vt:variant>
        <vt:i4>1376316</vt:i4>
      </vt:variant>
      <vt:variant>
        <vt:i4>302</vt:i4>
      </vt:variant>
      <vt:variant>
        <vt:i4>0</vt:i4>
      </vt:variant>
      <vt:variant>
        <vt:i4>5</vt:i4>
      </vt:variant>
      <vt:variant>
        <vt:lpwstr/>
      </vt:variant>
      <vt:variant>
        <vt:lpwstr>_Toc466560819</vt:lpwstr>
      </vt:variant>
      <vt:variant>
        <vt:i4>1376316</vt:i4>
      </vt:variant>
      <vt:variant>
        <vt:i4>296</vt:i4>
      </vt:variant>
      <vt:variant>
        <vt:i4>0</vt:i4>
      </vt:variant>
      <vt:variant>
        <vt:i4>5</vt:i4>
      </vt:variant>
      <vt:variant>
        <vt:lpwstr/>
      </vt:variant>
      <vt:variant>
        <vt:lpwstr>_Toc466560818</vt:lpwstr>
      </vt:variant>
      <vt:variant>
        <vt:i4>1376316</vt:i4>
      </vt:variant>
      <vt:variant>
        <vt:i4>290</vt:i4>
      </vt:variant>
      <vt:variant>
        <vt:i4>0</vt:i4>
      </vt:variant>
      <vt:variant>
        <vt:i4>5</vt:i4>
      </vt:variant>
      <vt:variant>
        <vt:lpwstr/>
      </vt:variant>
      <vt:variant>
        <vt:lpwstr>_Toc466560817</vt:lpwstr>
      </vt:variant>
      <vt:variant>
        <vt:i4>1376316</vt:i4>
      </vt:variant>
      <vt:variant>
        <vt:i4>284</vt:i4>
      </vt:variant>
      <vt:variant>
        <vt:i4>0</vt:i4>
      </vt:variant>
      <vt:variant>
        <vt:i4>5</vt:i4>
      </vt:variant>
      <vt:variant>
        <vt:lpwstr/>
      </vt:variant>
      <vt:variant>
        <vt:lpwstr>_Toc466560816</vt:lpwstr>
      </vt:variant>
      <vt:variant>
        <vt:i4>1376316</vt:i4>
      </vt:variant>
      <vt:variant>
        <vt:i4>278</vt:i4>
      </vt:variant>
      <vt:variant>
        <vt:i4>0</vt:i4>
      </vt:variant>
      <vt:variant>
        <vt:i4>5</vt:i4>
      </vt:variant>
      <vt:variant>
        <vt:lpwstr/>
      </vt:variant>
      <vt:variant>
        <vt:lpwstr>_Toc466560815</vt:lpwstr>
      </vt:variant>
      <vt:variant>
        <vt:i4>1376316</vt:i4>
      </vt:variant>
      <vt:variant>
        <vt:i4>272</vt:i4>
      </vt:variant>
      <vt:variant>
        <vt:i4>0</vt:i4>
      </vt:variant>
      <vt:variant>
        <vt:i4>5</vt:i4>
      </vt:variant>
      <vt:variant>
        <vt:lpwstr/>
      </vt:variant>
      <vt:variant>
        <vt:lpwstr>_Toc466560814</vt:lpwstr>
      </vt:variant>
      <vt:variant>
        <vt:i4>1376316</vt:i4>
      </vt:variant>
      <vt:variant>
        <vt:i4>266</vt:i4>
      </vt:variant>
      <vt:variant>
        <vt:i4>0</vt:i4>
      </vt:variant>
      <vt:variant>
        <vt:i4>5</vt:i4>
      </vt:variant>
      <vt:variant>
        <vt:lpwstr/>
      </vt:variant>
      <vt:variant>
        <vt:lpwstr>_Toc466560813</vt:lpwstr>
      </vt:variant>
      <vt:variant>
        <vt:i4>1376316</vt:i4>
      </vt:variant>
      <vt:variant>
        <vt:i4>260</vt:i4>
      </vt:variant>
      <vt:variant>
        <vt:i4>0</vt:i4>
      </vt:variant>
      <vt:variant>
        <vt:i4>5</vt:i4>
      </vt:variant>
      <vt:variant>
        <vt:lpwstr/>
      </vt:variant>
      <vt:variant>
        <vt:lpwstr>_Toc466560812</vt:lpwstr>
      </vt:variant>
      <vt:variant>
        <vt:i4>1376316</vt:i4>
      </vt:variant>
      <vt:variant>
        <vt:i4>254</vt:i4>
      </vt:variant>
      <vt:variant>
        <vt:i4>0</vt:i4>
      </vt:variant>
      <vt:variant>
        <vt:i4>5</vt:i4>
      </vt:variant>
      <vt:variant>
        <vt:lpwstr/>
      </vt:variant>
      <vt:variant>
        <vt:lpwstr>_Toc466560811</vt:lpwstr>
      </vt:variant>
      <vt:variant>
        <vt:i4>1376316</vt:i4>
      </vt:variant>
      <vt:variant>
        <vt:i4>248</vt:i4>
      </vt:variant>
      <vt:variant>
        <vt:i4>0</vt:i4>
      </vt:variant>
      <vt:variant>
        <vt:i4>5</vt:i4>
      </vt:variant>
      <vt:variant>
        <vt:lpwstr/>
      </vt:variant>
      <vt:variant>
        <vt:lpwstr>_Toc466560810</vt:lpwstr>
      </vt:variant>
      <vt:variant>
        <vt:i4>1310780</vt:i4>
      </vt:variant>
      <vt:variant>
        <vt:i4>242</vt:i4>
      </vt:variant>
      <vt:variant>
        <vt:i4>0</vt:i4>
      </vt:variant>
      <vt:variant>
        <vt:i4>5</vt:i4>
      </vt:variant>
      <vt:variant>
        <vt:lpwstr/>
      </vt:variant>
      <vt:variant>
        <vt:lpwstr>_Toc466560809</vt:lpwstr>
      </vt:variant>
      <vt:variant>
        <vt:i4>1310780</vt:i4>
      </vt:variant>
      <vt:variant>
        <vt:i4>236</vt:i4>
      </vt:variant>
      <vt:variant>
        <vt:i4>0</vt:i4>
      </vt:variant>
      <vt:variant>
        <vt:i4>5</vt:i4>
      </vt:variant>
      <vt:variant>
        <vt:lpwstr/>
      </vt:variant>
      <vt:variant>
        <vt:lpwstr>_Toc466560808</vt:lpwstr>
      </vt:variant>
      <vt:variant>
        <vt:i4>1310780</vt:i4>
      </vt:variant>
      <vt:variant>
        <vt:i4>230</vt:i4>
      </vt:variant>
      <vt:variant>
        <vt:i4>0</vt:i4>
      </vt:variant>
      <vt:variant>
        <vt:i4>5</vt:i4>
      </vt:variant>
      <vt:variant>
        <vt:lpwstr/>
      </vt:variant>
      <vt:variant>
        <vt:lpwstr>_Toc466560807</vt:lpwstr>
      </vt:variant>
      <vt:variant>
        <vt:i4>1310780</vt:i4>
      </vt:variant>
      <vt:variant>
        <vt:i4>224</vt:i4>
      </vt:variant>
      <vt:variant>
        <vt:i4>0</vt:i4>
      </vt:variant>
      <vt:variant>
        <vt:i4>5</vt:i4>
      </vt:variant>
      <vt:variant>
        <vt:lpwstr/>
      </vt:variant>
      <vt:variant>
        <vt:lpwstr>_Toc466560806</vt:lpwstr>
      </vt:variant>
      <vt:variant>
        <vt:i4>1310780</vt:i4>
      </vt:variant>
      <vt:variant>
        <vt:i4>218</vt:i4>
      </vt:variant>
      <vt:variant>
        <vt:i4>0</vt:i4>
      </vt:variant>
      <vt:variant>
        <vt:i4>5</vt:i4>
      </vt:variant>
      <vt:variant>
        <vt:lpwstr/>
      </vt:variant>
      <vt:variant>
        <vt:lpwstr>_Toc466560805</vt:lpwstr>
      </vt:variant>
      <vt:variant>
        <vt:i4>1310780</vt:i4>
      </vt:variant>
      <vt:variant>
        <vt:i4>212</vt:i4>
      </vt:variant>
      <vt:variant>
        <vt:i4>0</vt:i4>
      </vt:variant>
      <vt:variant>
        <vt:i4>5</vt:i4>
      </vt:variant>
      <vt:variant>
        <vt:lpwstr/>
      </vt:variant>
      <vt:variant>
        <vt:lpwstr>_Toc466560804</vt:lpwstr>
      </vt:variant>
      <vt:variant>
        <vt:i4>1310780</vt:i4>
      </vt:variant>
      <vt:variant>
        <vt:i4>206</vt:i4>
      </vt:variant>
      <vt:variant>
        <vt:i4>0</vt:i4>
      </vt:variant>
      <vt:variant>
        <vt:i4>5</vt:i4>
      </vt:variant>
      <vt:variant>
        <vt:lpwstr/>
      </vt:variant>
      <vt:variant>
        <vt:lpwstr>_Toc466560803</vt:lpwstr>
      </vt:variant>
      <vt:variant>
        <vt:i4>1310780</vt:i4>
      </vt:variant>
      <vt:variant>
        <vt:i4>200</vt:i4>
      </vt:variant>
      <vt:variant>
        <vt:i4>0</vt:i4>
      </vt:variant>
      <vt:variant>
        <vt:i4>5</vt:i4>
      </vt:variant>
      <vt:variant>
        <vt:lpwstr/>
      </vt:variant>
      <vt:variant>
        <vt:lpwstr>_Toc466560802</vt:lpwstr>
      </vt:variant>
      <vt:variant>
        <vt:i4>1310780</vt:i4>
      </vt:variant>
      <vt:variant>
        <vt:i4>194</vt:i4>
      </vt:variant>
      <vt:variant>
        <vt:i4>0</vt:i4>
      </vt:variant>
      <vt:variant>
        <vt:i4>5</vt:i4>
      </vt:variant>
      <vt:variant>
        <vt:lpwstr/>
      </vt:variant>
      <vt:variant>
        <vt:lpwstr>_Toc466560801</vt:lpwstr>
      </vt:variant>
      <vt:variant>
        <vt:i4>1310780</vt:i4>
      </vt:variant>
      <vt:variant>
        <vt:i4>188</vt:i4>
      </vt:variant>
      <vt:variant>
        <vt:i4>0</vt:i4>
      </vt:variant>
      <vt:variant>
        <vt:i4>5</vt:i4>
      </vt:variant>
      <vt:variant>
        <vt:lpwstr/>
      </vt:variant>
      <vt:variant>
        <vt:lpwstr>_Toc466560800</vt:lpwstr>
      </vt:variant>
      <vt:variant>
        <vt:i4>1900595</vt:i4>
      </vt:variant>
      <vt:variant>
        <vt:i4>182</vt:i4>
      </vt:variant>
      <vt:variant>
        <vt:i4>0</vt:i4>
      </vt:variant>
      <vt:variant>
        <vt:i4>5</vt:i4>
      </vt:variant>
      <vt:variant>
        <vt:lpwstr/>
      </vt:variant>
      <vt:variant>
        <vt:lpwstr>_Toc466560799</vt:lpwstr>
      </vt:variant>
      <vt:variant>
        <vt:i4>1900595</vt:i4>
      </vt:variant>
      <vt:variant>
        <vt:i4>176</vt:i4>
      </vt:variant>
      <vt:variant>
        <vt:i4>0</vt:i4>
      </vt:variant>
      <vt:variant>
        <vt:i4>5</vt:i4>
      </vt:variant>
      <vt:variant>
        <vt:lpwstr/>
      </vt:variant>
      <vt:variant>
        <vt:lpwstr>_Toc466560798</vt:lpwstr>
      </vt:variant>
      <vt:variant>
        <vt:i4>1900595</vt:i4>
      </vt:variant>
      <vt:variant>
        <vt:i4>170</vt:i4>
      </vt:variant>
      <vt:variant>
        <vt:i4>0</vt:i4>
      </vt:variant>
      <vt:variant>
        <vt:i4>5</vt:i4>
      </vt:variant>
      <vt:variant>
        <vt:lpwstr/>
      </vt:variant>
      <vt:variant>
        <vt:lpwstr>_Toc466560797</vt:lpwstr>
      </vt:variant>
      <vt:variant>
        <vt:i4>1900595</vt:i4>
      </vt:variant>
      <vt:variant>
        <vt:i4>164</vt:i4>
      </vt:variant>
      <vt:variant>
        <vt:i4>0</vt:i4>
      </vt:variant>
      <vt:variant>
        <vt:i4>5</vt:i4>
      </vt:variant>
      <vt:variant>
        <vt:lpwstr/>
      </vt:variant>
      <vt:variant>
        <vt:lpwstr>_Toc466560796</vt:lpwstr>
      </vt:variant>
      <vt:variant>
        <vt:i4>1900595</vt:i4>
      </vt:variant>
      <vt:variant>
        <vt:i4>158</vt:i4>
      </vt:variant>
      <vt:variant>
        <vt:i4>0</vt:i4>
      </vt:variant>
      <vt:variant>
        <vt:i4>5</vt:i4>
      </vt:variant>
      <vt:variant>
        <vt:lpwstr/>
      </vt:variant>
      <vt:variant>
        <vt:lpwstr>_Toc466560795</vt:lpwstr>
      </vt:variant>
      <vt:variant>
        <vt:i4>1900595</vt:i4>
      </vt:variant>
      <vt:variant>
        <vt:i4>152</vt:i4>
      </vt:variant>
      <vt:variant>
        <vt:i4>0</vt:i4>
      </vt:variant>
      <vt:variant>
        <vt:i4>5</vt:i4>
      </vt:variant>
      <vt:variant>
        <vt:lpwstr/>
      </vt:variant>
      <vt:variant>
        <vt:lpwstr>_Toc466560794</vt:lpwstr>
      </vt:variant>
      <vt:variant>
        <vt:i4>1900595</vt:i4>
      </vt:variant>
      <vt:variant>
        <vt:i4>146</vt:i4>
      </vt:variant>
      <vt:variant>
        <vt:i4>0</vt:i4>
      </vt:variant>
      <vt:variant>
        <vt:i4>5</vt:i4>
      </vt:variant>
      <vt:variant>
        <vt:lpwstr/>
      </vt:variant>
      <vt:variant>
        <vt:lpwstr>_Toc466560793</vt:lpwstr>
      </vt:variant>
      <vt:variant>
        <vt:i4>1900595</vt:i4>
      </vt:variant>
      <vt:variant>
        <vt:i4>140</vt:i4>
      </vt:variant>
      <vt:variant>
        <vt:i4>0</vt:i4>
      </vt:variant>
      <vt:variant>
        <vt:i4>5</vt:i4>
      </vt:variant>
      <vt:variant>
        <vt:lpwstr/>
      </vt:variant>
      <vt:variant>
        <vt:lpwstr>_Toc466560792</vt:lpwstr>
      </vt:variant>
      <vt:variant>
        <vt:i4>1900595</vt:i4>
      </vt:variant>
      <vt:variant>
        <vt:i4>134</vt:i4>
      </vt:variant>
      <vt:variant>
        <vt:i4>0</vt:i4>
      </vt:variant>
      <vt:variant>
        <vt:i4>5</vt:i4>
      </vt:variant>
      <vt:variant>
        <vt:lpwstr/>
      </vt:variant>
      <vt:variant>
        <vt:lpwstr>_Toc466560791</vt:lpwstr>
      </vt:variant>
      <vt:variant>
        <vt:i4>1900595</vt:i4>
      </vt:variant>
      <vt:variant>
        <vt:i4>128</vt:i4>
      </vt:variant>
      <vt:variant>
        <vt:i4>0</vt:i4>
      </vt:variant>
      <vt:variant>
        <vt:i4>5</vt:i4>
      </vt:variant>
      <vt:variant>
        <vt:lpwstr/>
      </vt:variant>
      <vt:variant>
        <vt:lpwstr>_Toc466560790</vt:lpwstr>
      </vt:variant>
      <vt:variant>
        <vt:i4>1835059</vt:i4>
      </vt:variant>
      <vt:variant>
        <vt:i4>122</vt:i4>
      </vt:variant>
      <vt:variant>
        <vt:i4>0</vt:i4>
      </vt:variant>
      <vt:variant>
        <vt:i4>5</vt:i4>
      </vt:variant>
      <vt:variant>
        <vt:lpwstr/>
      </vt:variant>
      <vt:variant>
        <vt:lpwstr>_Toc466560789</vt:lpwstr>
      </vt:variant>
      <vt:variant>
        <vt:i4>1835059</vt:i4>
      </vt:variant>
      <vt:variant>
        <vt:i4>116</vt:i4>
      </vt:variant>
      <vt:variant>
        <vt:i4>0</vt:i4>
      </vt:variant>
      <vt:variant>
        <vt:i4>5</vt:i4>
      </vt:variant>
      <vt:variant>
        <vt:lpwstr/>
      </vt:variant>
      <vt:variant>
        <vt:lpwstr>_Toc466560788</vt:lpwstr>
      </vt:variant>
      <vt:variant>
        <vt:i4>1835059</vt:i4>
      </vt:variant>
      <vt:variant>
        <vt:i4>110</vt:i4>
      </vt:variant>
      <vt:variant>
        <vt:i4>0</vt:i4>
      </vt:variant>
      <vt:variant>
        <vt:i4>5</vt:i4>
      </vt:variant>
      <vt:variant>
        <vt:lpwstr/>
      </vt:variant>
      <vt:variant>
        <vt:lpwstr>_Toc466560787</vt:lpwstr>
      </vt:variant>
      <vt:variant>
        <vt:i4>1835059</vt:i4>
      </vt:variant>
      <vt:variant>
        <vt:i4>104</vt:i4>
      </vt:variant>
      <vt:variant>
        <vt:i4>0</vt:i4>
      </vt:variant>
      <vt:variant>
        <vt:i4>5</vt:i4>
      </vt:variant>
      <vt:variant>
        <vt:lpwstr/>
      </vt:variant>
      <vt:variant>
        <vt:lpwstr>_Toc466560786</vt:lpwstr>
      </vt:variant>
      <vt:variant>
        <vt:i4>1835059</vt:i4>
      </vt:variant>
      <vt:variant>
        <vt:i4>98</vt:i4>
      </vt:variant>
      <vt:variant>
        <vt:i4>0</vt:i4>
      </vt:variant>
      <vt:variant>
        <vt:i4>5</vt:i4>
      </vt:variant>
      <vt:variant>
        <vt:lpwstr/>
      </vt:variant>
      <vt:variant>
        <vt:lpwstr>_Toc466560785</vt:lpwstr>
      </vt:variant>
      <vt:variant>
        <vt:i4>1835059</vt:i4>
      </vt:variant>
      <vt:variant>
        <vt:i4>92</vt:i4>
      </vt:variant>
      <vt:variant>
        <vt:i4>0</vt:i4>
      </vt:variant>
      <vt:variant>
        <vt:i4>5</vt:i4>
      </vt:variant>
      <vt:variant>
        <vt:lpwstr/>
      </vt:variant>
      <vt:variant>
        <vt:lpwstr>_Toc466560784</vt:lpwstr>
      </vt:variant>
      <vt:variant>
        <vt:i4>1835059</vt:i4>
      </vt:variant>
      <vt:variant>
        <vt:i4>86</vt:i4>
      </vt:variant>
      <vt:variant>
        <vt:i4>0</vt:i4>
      </vt:variant>
      <vt:variant>
        <vt:i4>5</vt:i4>
      </vt:variant>
      <vt:variant>
        <vt:lpwstr/>
      </vt:variant>
      <vt:variant>
        <vt:lpwstr>_Toc466560783</vt:lpwstr>
      </vt:variant>
      <vt:variant>
        <vt:i4>1835059</vt:i4>
      </vt:variant>
      <vt:variant>
        <vt:i4>80</vt:i4>
      </vt:variant>
      <vt:variant>
        <vt:i4>0</vt:i4>
      </vt:variant>
      <vt:variant>
        <vt:i4>5</vt:i4>
      </vt:variant>
      <vt:variant>
        <vt:lpwstr/>
      </vt:variant>
      <vt:variant>
        <vt:lpwstr>_Toc466560782</vt:lpwstr>
      </vt:variant>
      <vt:variant>
        <vt:i4>1835059</vt:i4>
      </vt:variant>
      <vt:variant>
        <vt:i4>74</vt:i4>
      </vt:variant>
      <vt:variant>
        <vt:i4>0</vt:i4>
      </vt:variant>
      <vt:variant>
        <vt:i4>5</vt:i4>
      </vt:variant>
      <vt:variant>
        <vt:lpwstr/>
      </vt:variant>
      <vt:variant>
        <vt:lpwstr>_Toc466560781</vt:lpwstr>
      </vt:variant>
      <vt:variant>
        <vt:i4>1835059</vt:i4>
      </vt:variant>
      <vt:variant>
        <vt:i4>68</vt:i4>
      </vt:variant>
      <vt:variant>
        <vt:i4>0</vt:i4>
      </vt:variant>
      <vt:variant>
        <vt:i4>5</vt:i4>
      </vt:variant>
      <vt:variant>
        <vt:lpwstr/>
      </vt:variant>
      <vt:variant>
        <vt:lpwstr>_Toc466560780</vt:lpwstr>
      </vt:variant>
      <vt:variant>
        <vt:i4>1245235</vt:i4>
      </vt:variant>
      <vt:variant>
        <vt:i4>62</vt:i4>
      </vt:variant>
      <vt:variant>
        <vt:i4>0</vt:i4>
      </vt:variant>
      <vt:variant>
        <vt:i4>5</vt:i4>
      </vt:variant>
      <vt:variant>
        <vt:lpwstr/>
      </vt:variant>
      <vt:variant>
        <vt:lpwstr>_Toc466560779</vt:lpwstr>
      </vt:variant>
      <vt:variant>
        <vt:i4>1245235</vt:i4>
      </vt:variant>
      <vt:variant>
        <vt:i4>56</vt:i4>
      </vt:variant>
      <vt:variant>
        <vt:i4>0</vt:i4>
      </vt:variant>
      <vt:variant>
        <vt:i4>5</vt:i4>
      </vt:variant>
      <vt:variant>
        <vt:lpwstr/>
      </vt:variant>
      <vt:variant>
        <vt:lpwstr>_Toc466560778</vt:lpwstr>
      </vt:variant>
      <vt:variant>
        <vt:i4>1245235</vt:i4>
      </vt:variant>
      <vt:variant>
        <vt:i4>50</vt:i4>
      </vt:variant>
      <vt:variant>
        <vt:i4>0</vt:i4>
      </vt:variant>
      <vt:variant>
        <vt:i4>5</vt:i4>
      </vt:variant>
      <vt:variant>
        <vt:lpwstr/>
      </vt:variant>
      <vt:variant>
        <vt:lpwstr>_Toc466560777</vt:lpwstr>
      </vt:variant>
      <vt:variant>
        <vt:i4>1245235</vt:i4>
      </vt:variant>
      <vt:variant>
        <vt:i4>44</vt:i4>
      </vt:variant>
      <vt:variant>
        <vt:i4>0</vt:i4>
      </vt:variant>
      <vt:variant>
        <vt:i4>5</vt:i4>
      </vt:variant>
      <vt:variant>
        <vt:lpwstr/>
      </vt:variant>
      <vt:variant>
        <vt:lpwstr>_Toc466560776</vt:lpwstr>
      </vt:variant>
      <vt:variant>
        <vt:i4>1245235</vt:i4>
      </vt:variant>
      <vt:variant>
        <vt:i4>38</vt:i4>
      </vt:variant>
      <vt:variant>
        <vt:i4>0</vt:i4>
      </vt:variant>
      <vt:variant>
        <vt:i4>5</vt:i4>
      </vt:variant>
      <vt:variant>
        <vt:lpwstr/>
      </vt:variant>
      <vt:variant>
        <vt:lpwstr>_Toc466560775</vt:lpwstr>
      </vt:variant>
      <vt:variant>
        <vt:i4>1245235</vt:i4>
      </vt:variant>
      <vt:variant>
        <vt:i4>32</vt:i4>
      </vt:variant>
      <vt:variant>
        <vt:i4>0</vt:i4>
      </vt:variant>
      <vt:variant>
        <vt:i4>5</vt:i4>
      </vt:variant>
      <vt:variant>
        <vt:lpwstr/>
      </vt:variant>
      <vt:variant>
        <vt:lpwstr>_Toc466560774</vt:lpwstr>
      </vt:variant>
      <vt:variant>
        <vt:i4>1245235</vt:i4>
      </vt:variant>
      <vt:variant>
        <vt:i4>26</vt:i4>
      </vt:variant>
      <vt:variant>
        <vt:i4>0</vt:i4>
      </vt:variant>
      <vt:variant>
        <vt:i4>5</vt:i4>
      </vt:variant>
      <vt:variant>
        <vt:lpwstr/>
      </vt:variant>
      <vt:variant>
        <vt:lpwstr>_Toc466560773</vt:lpwstr>
      </vt:variant>
      <vt:variant>
        <vt:i4>1245235</vt:i4>
      </vt:variant>
      <vt:variant>
        <vt:i4>20</vt:i4>
      </vt:variant>
      <vt:variant>
        <vt:i4>0</vt:i4>
      </vt:variant>
      <vt:variant>
        <vt:i4>5</vt:i4>
      </vt:variant>
      <vt:variant>
        <vt:lpwstr/>
      </vt:variant>
      <vt:variant>
        <vt:lpwstr>_Toc466560772</vt:lpwstr>
      </vt:variant>
      <vt:variant>
        <vt:i4>1245235</vt:i4>
      </vt:variant>
      <vt:variant>
        <vt:i4>14</vt:i4>
      </vt:variant>
      <vt:variant>
        <vt:i4>0</vt:i4>
      </vt:variant>
      <vt:variant>
        <vt:i4>5</vt:i4>
      </vt:variant>
      <vt:variant>
        <vt:lpwstr/>
      </vt:variant>
      <vt:variant>
        <vt:lpwstr>_Toc466560771</vt:lpwstr>
      </vt:variant>
      <vt:variant>
        <vt:i4>1245235</vt:i4>
      </vt:variant>
      <vt:variant>
        <vt:i4>8</vt:i4>
      </vt:variant>
      <vt:variant>
        <vt:i4>0</vt:i4>
      </vt:variant>
      <vt:variant>
        <vt:i4>5</vt:i4>
      </vt:variant>
      <vt:variant>
        <vt:lpwstr/>
      </vt:variant>
      <vt:variant>
        <vt:lpwstr>_Toc466560770</vt:lpwstr>
      </vt:variant>
      <vt:variant>
        <vt:i4>1179699</vt:i4>
      </vt:variant>
      <vt:variant>
        <vt:i4>2</vt:i4>
      </vt:variant>
      <vt:variant>
        <vt:i4>0</vt:i4>
      </vt:variant>
      <vt:variant>
        <vt:i4>5</vt:i4>
      </vt:variant>
      <vt:variant>
        <vt:lpwstr/>
      </vt:variant>
      <vt:variant>
        <vt:lpwstr>_Toc466560769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999-PE-GN-REL</dc:title>
  <dc:subject>Relazione</dc:subject>
  <dc:creator>LINCIANO - BENVENUTI &amp; ASSOCIATIAssociazione professionale                                                                                                  56127 PISA Borgo Stretto 52 –    tel. 050.541119  fax 050 542068- e.mail: studio@libea.it</dc:creator>
  <cp:lastModifiedBy>Margherita</cp:lastModifiedBy>
  <cp:revision>137</cp:revision>
  <cp:lastPrinted>2023-01-23T09:59:00Z</cp:lastPrinted>
  <dcterms:created xsi:type="dcterms:W3CDTF">2020-11-25T09:27:00Z</dcterms:created>
  <dcterms:modified xsi:type="dcterms:W3CDTF">2026-06-22T09:57:00Z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ssa">
    <vt:i4>948</vt:i4>
  </property>
  <property fmtid="{D5CDD505-2E9C-101B-9397-08002B2CF9AE}" pid="3" name="Attività">
    <vt:lpwstr>PE</vt:lpwstr>
  </property>
  <property fmtid="{D5CDD505-2E9C-101B-9397-08002B2CF9AE}" pid="4" name="Revisione">
    <vt:i4>0</vt:i4>
  </property>
</Properties>
</file>